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FA926" w14:textId="77777777" w:rsidR="0068443A" w:rsidRDefault="00332DCB">
      <w:pPr>
        <w:pBdr>
          <w:top w:val="nil"/>
          <w:left w:val="nil"/>
          <w:bottom w:val="nil"/>
          <w:right w:val="nil"/>
          <w:between w:val="nil"/>
        </w:pBdr>
        <w:spacing w:after="200" w:line="204" w:lineRule="auto"/>
        <w:rPr>
          <w:color w:val="000000"/>
          <w:sz w:val="48"/>
          <w:szCs w:val="48"/>
        </w:rPr>
      </w:pPr>
      <w:r>
        <w:rPr>
          <w:color w:val="000000"/>
          <w:sz w:val="48"/>
          <w:szCs w:val="48"/>
        </w:rPr>
        <w:t>Presseinformation</w:t>
      </w:r>
    </w:p>
    <w:p w14:paraId="1748C88F" w14:textId="77777777" w:rsidR="0068443A" w:rsidRDefault="00332DCB">
      <w:pPr>
        <w:pBdr>
          <w:top w:val="nil"/>
          <w:left w:val="nil"/>
          <w:bottom w:val="nil"/>
          <w:right w:val="nil"/>
          <w:between w:val="nil"/>
        </w:pBdr>
        <w:rPr>
          <w:color w:val="000000"/>
          <w:sz w:val="22"/>
          <w:szCs w:val="22"/>
        </w:rPr>
      </w:pPr>
      <w:r>
        <w:rPr>
          <w:color w:val="000000"/>
          <w:sz w:val="22"/>
          <w:szCs w:val="22"/>
        </w:rPr>
        <w:t xml:space="preserve">Hamburg / </w:t>
      </w:r>
      <w:r>
        <w:rPr>
          <w:sz w:val="22"/>
          <w:szCs w:val="22"/>
        </w:rPr>
        <w:t xml:space="preserve">Juni </w:t>
      </w:r>
      <w:r>
        <w:rPr>
          <w:color w:val="000000"/>
          <w:sz w:val="22"/>
          <w:szCs w:val="22"/>
        </w:rPr>
        <w:t>/ 2021</w:t>
      </w:r>
    </w:p>
    <w:p w14:paraId="5E42E0CD" w14:textId="77777777" w:rsidR="0068443A" w:rsidRDefault="0068443A">
      <w:pPr>
        <w:pBdr>
          <w:top w:val="nil"/>
          <w:left w:val="nil"/>
          <w:bottom w:val="nil"/>
          <w:right w:val="nil"/>
          <w:between w:val="nil"/>
        </w:pBdr>
        <w:rPr>
          <w:b/>
          <w:color w:val="000000"/>
          <w:sz w:val="36"/>
          <w:szCs w:val="36"/>
        </w:rPr>
      </w:pPr>
    </w:p>
    <w:p w14:paraId="46B703EB" w14:textId="77777777" w:rsidR="0068443A" w:rsidRDefault="00332DCB">
      <w:pPr>
        <w:pBdr>
          <w:top w:val="nil"/>
          <w:left w:val="nil"/>
          <w:bottom w:val="nil"/>
          <w:right w:val="nil"/>
          <w:between w:val="nil"/>
        </w:pBdr>
        <w:rPr>
          <w:b/>
          <w:color w:val="000000"/>
          <w:sz w:val="36"/>
          <w:szCs w:val="36"/>
        </w:rPr>
      </w:pPr>
      <w:r>
        <w:rPr>
          <w:b/>
          <w:color w:val="000000"/>
          <w:sz w:val="36"/>
          <w:szCs w:val="36"/>
        </w:rPr>
        <w:t xml:space="preserve">Neuer Ratgeber: DG PARO und CP GABA klären über Zahnfleischgesundheit in der Schwangerschaft auf </w:t>
      </w:r>
    </w:p>
    <w:p w14:paraId="761E3A57" w14:textId="77777777" w:rsidR="0068443A" w:rsidRDefault="0068443A">
      <w:pPr>
        <w:pBdr>
          <w:top w:val="nil"/>
          <w:left w:val="nil"/>
          <w:bottom w:val="nil"/>
          <w:right w:val="nil"/>
          <w:between w:val="nil"/>
        </w:pBdr>
        <w:rPr>
          <w:b/>
          <w:color w:val="000000"/>
          <w:sz w:val="22"/>
          <w:szCs w:val="22"/>
        </w:rPr>
      </w:pPr>
    </w:p>
    <w:p w14:paraId="00B111FF" w14:textId="19363C29" w:rsidR="00B27740" w:rsidRDefault="00332DCB">
      <w:pPr>
        <w:pBdr>
          <w:top w:val="nil"/>
          <w:left w:val="nil"/>
          <w:bottom w:val="nil"/>
          <w:right w:val="nil"/>
          <w:between w:val="nil"/>
        </w:pBdr>
        <w:rPr>
          <w:b/>
          <w:color w:val="000000"/>
          <w:sz w:val="22"/>
          <w:szCs w:val="22"/>
        </w:rPr>
      </w:pPr>
      <w:r>
        <w:rPr>
          <w:b/>
          <w:color w:val="000000"/>
          <w:sz w:val="22"/>
          <w:szCs w:val="22"/>
        </w:rPr>
        <w:t>Die Deutsche Gesellschaft für Parodontologie e. V. (DG PARO) sowie die parodontologischen Fachgesellschaften in Österreich</w:t>
      </w:r>
      <w:r w:rsidR="00CD7656">
        <w:rPr>
          <w:b/>
          <w:color w:val="000000"/>
          <w:sz w:val="22"/>
          <w:szCs w:val="22"/>
        </w:rPr>
        <w:t xml:space="preserve"> (ÖGP)</w:t>
      </w:r>
      <w:r>
        <w:rPr>
          <w:b/>
          <w:color w:val="000000"/>
          <w:sz w:val="22"/>
          <w:szCs w:val="22"/>
        </w:rPr>
        <w:t xml:space="preserve"> und der Schweiz </w:t>
      </w:r>
      <w:r w:rsidR="00CD7656">
        <w:rPr>
          <w:b/>
          <w:color w:val="000000"/>
          <w:sz w:val="22"/>
          <w:szCs w:val="22"/>
        </w:rPr>
        <w:t xml:space="preserve">(SSP) </w:t>
      </w:r>
      <w:r>
        <w:rPr>
          <w:b/>
          <w:color w:val="000000"/>
          <w:sz w:val="22"/>
          <w:szCs w:val="22"/>
        </w:rPr>
        <w:t xml:space="preserve">haben in Kooperation mit CP GABA </w:t>
      </w:r>
      <w:proofErr w:type="gramStart"/>
      <w:r>
        <w:rPr>
          <w:b/>
          <w:color w:val="000000"/>
          <w:sz w:val="22"/>
          <w:szCs w:val="22"/>
        </w:rPr>
        <w:t>den</w:t>
      </w:r>
      <w:r w:rsidR="00E827D8">
        <w:rPr>
          <w:b/>
          <w:color w:val="000000"/>
          <w:sz w:val="22"/>
          <w:szCs w:val="22"/>
        </w:rPr>
        <w:t xml:space="preserve"> </w:t>
      </w:r>
      <w:r>
        <w:rPr>
          <w:b/>
          <w:color w:val="000000"/>
          <w:sz w:val="22"/>
          <w:szCs w:val="22"/>
        </w:rPr>
        <w:t>Patient</w:t>
      </w:r>
      <w:proofErr w:type="gramEnd"/>
      <w:r>
        <w:rPr>
          <w:b/>
          <w:color w:val="000000"/>
          <w:sz w:val="22"/>
          <w:szCs w:val="22"/>
        </w:rPr>
        <w:t>*innen-Ratgeber „Gesundes Zahnfleisch bei Kinderwunsch und Schwangerschaft“ veröffentlicht.</w:t>
      </w:r>
      <w:r w:rsidR="00B27740">
        <w:rPr>
          <w:b/>
          <w:color w:val="000000"/>
          <w:sz w:val="22"/>
          <w:szCs w:val="22"/>
        </w:rPr>
        <w:t xml:space="preserve"> </w:t>
      </w:r>
      <w:r w:rsidR="00B27740" w:rsidRPr="00B27740">
        <w:rPr>
          <w:b/>
          <w:color w:val="000000"/>
          <w:sz w:val="22"/>
          <w:szCs w:val="22"/>
        </w:rPr>
        <w:t>Gedruckte Exemplare für die eigene Praxis können ab sofort kostenfrei im Servicecenter von CP GABA bestellt werden</w:t>
      </w:r>
      <w:r w:rsidR="009B75C8">
        <w:rPr>
          <w:b/>
          <w:color w:val="000000"/>
          <w:sz w:val="22"/>
          <w:szCs w:val="22"/>
        </w:rPr>
        <w:t xml:space="preserve"> (s.u.)</w:t>
      </w:r>
      <w:r w:rsidR="00B27740" w:rsidRPr="00B27740">
        <w:rPr>
          <w:b/>
          <w:color w:val="000000"/>
          <w:sz w:val="22"/>
          <w:szCs w:val="22"/>
        </w:rPr>
        <w:t>. Unter</w:t>
      </w:r>
      <w:r w:rsidR="00B27740">
        <w:rPr>
          <w:b/>
          <w:color w:val="000000"/>
          <w:sz w:val="22"/>
          <w:szCs w:val="22"/>
        </w:rPr>
        <w:t xml:space="preserve"> </w:t>
      </w:r>
      <w:hyperlink r:id="rId6">
        <w:r w:rsidR="00B27740">
          <w:rPr>
            <w:b/>
            <w:color w:val="0000FF"/>
            <w:sz w:val="22"/>
            <w:szCs w:val="22"/>
            <w:u w:val="single"/>
          </w:rPr>
          <w:t>https://bit.ly/2S4jUOY</w:t>
        </w:r>
      </w:hyperlink>
      <w:r w:rsidR="00B27740">
        <w:t xml:space="preserve"> </w:t>
      </w:r>
      <w:r w:rsidR="00B27740" w:rsidRPr="00B27740">
        <w:rPr>
          <w:b/>
          <w:color w:val="000000"/>
          <w:sz w:val="22"/>
          <w:szCs w:val="22"/>
        </w:rPr>
        <w:t>steht der Ratgeber zum Download bereit.</w:t>
      </w:r>
    </w:p>
    <w:p w14:paraId="240C16D1" w14:textId="77777777" w:rsidR="0068443A" w:rsidRDefault="0068443A">
      <w:pPr>
        <w:pBdr>
          <w:top w:val="nil"/>
          <w:left w:val="nil"/>
          <w:bottom w:val="nil"/>
          <w:right w:val="nil"/>
          <w:between w:val="nil"/>
        </w:pBdr>
        <w:rPr>
          <w:b/>
          <w:color w:val="000000"/>
          <w:sz w:val="22"/>
          <w:szCs w:val="22"/>
        </w:rPr>
      </w:pPr>
    </w:p>
    <w:p w14:paraId="7ED405B9" w14:textId="74EEF3F0" w:rsidR="0068443A" w:rsidRDefault="00332DCB">
      <w:pPr>
        <w:pBdr>
          <w:top w:val="nil"/>
          <w:left w:val="nil"/>
          <w:bottom w:val="nil"/>
          <w:right w:val="nil"/>
          <w:between w:val="nil"/>
        </w:pBdr>
      </w:pPr>
      <w:r>
        <w:rPr>
          <w:color w:val="000000"/>
          <w:sz w:val="22"/>
          <w:szCs w:val="22"/>
        </w:rPr>
        <w:t xml:space="preserve">Eine lokale Entzündung des Zahnfleischs (Gingivitis) </w:t>
      </w:r>
      <w:r w:rsidR="0006663A">
        <w:rPr>
          <w:color w:val="000000"/>
          <w:sz w:val="22"/>
          <w:szCs w:val="22"/>
        </w:rPr>
        <w:t xml:space="preserve">kann </w:t>
      </w:r>
      <w:r>
        <w:rPr>
          <w:color w:val="000000"/>
          <w:sz w:val="22"/>
          <w:szCs w:val="22"/>
        </w:rPr>
        <w:t>sich unbehandelt zur Parodontitis</w:t>
      </w:r>
      <w:r w:rsidR="0006663A">
        <w:rPr>
          <w:color w:val="000000"/>
          <w:sz w:val="22"/>
          <w:szCs w:val="22"/>
        </w:rPr>
        <w:t xml:space="preserve"> weiterentwickeln</w:t>
      </w:r>
      <w:r>
        <w:rPr>
          <w:color w:val="000000"/>
          <w:sz w:val="22"/>
          <w:szCs w:val="22"/>
        </w:rPr>
        <w:t xml:space="preserve">, die den gesamten Zahnhalteapparat </w:t>
      </w:r>
      <w:r w:rsidR="00CD7656">
        <w:rPr>
          <w:color w:val="000000"/>
          <w:sz w:val="22"/>
          <w:szCs w:val="22"/>
        </w:rPr>
        <w:t>betrifft</w:t>
      </w:r>
      <w:r>
        <w:rPr>
          <w:color w:val="000000"/>
          <w:sz w:val="22"/>
          <w:szCs w:val="22"/>
        </w:rPr>
        <w:t>.</w:t>
      </w:r>
      <w:r>
        <w:rPr>
          <w:b/>
          <w:color w:val="000000"/>
          <w:sz w:val="22"/>
          <w:szCs w:val="22"/>
        </w:rPr>
        <w:t xml:space="preserve"> </w:t>
      </w:r>
      <w:r>
        <w:rPr>
          <w:color w:val="000000"/>
          <w:sz w:val="22"/>
          <w:szCs w:val="22"/>
        </w:rPr>
        <w:t xml:space="preserve">Da Parodontitis den Schwangerschaftsverlauf beeinflussen kann, sollten Schwangere und Frauen mit Kinderwunsch besonders auf ihr Zahnfleisch achten. Untersuchungen </w:t>
      </w:r>
      <w:r w:rsidR="00493D8C">
        <w:rPr>
          <w:color w:val="000000"/>
          <w:sz w:val="22"/>
          <w:szCs w:val="22"/>
        </w:rPr>
        <w:t>zeigen, dass</w:t>
      </w:r>
      <w:r>
        <w:rPr>
          <w:color w:val="000000"/>
          <w:sz w:val="22"/>
          <w:szCs w:val="22"/>
        </w:rPr>
        <w:t xml:space="preserve"> Parodontitis das Risiko für Frühgeburten mit niedrigem Geburtsgewicht </w:t>
      </w:r>
      <w:r w:rsidR="00493D8C">
        <w:rPr>
          <w:color w:val="000000"/>
          <w:sz w:val="22"/>
          <w:szCs w:val="22"/>
        </w:rPr>
        <w:t>erhöhen kann</w:t>
      </w:r>
      <w:r w:rsidR="00FC3139">
        <w:rPr>
          <w:color w:val="000000"/>
          <w:sz w:val="22"/>
          <w:szCs w:val="22"/>
        </w:rPr>
        <w:t xml:space="preserve"> </w:t>
      </w:r>
      <w:r>
        <w:rPr>
          <w:color w:val="000000"/>
          <w:sz w:val="22"/>
          <w:szCs w:val="22"/>
        </w:rPr>
        <w:t>[1].</w:t>
      </w:r>
    </w:p>
    <w:p w14:paraId="26EC7F96" w14:textId="77777777" w:rsidR="0068443A" w:rsidRDefault="0068443A">
      <w:pPr>
        <w:pBdr>
          <w:top w:val="nil"/>
          <w:left w:val="nil"/>
          <w:bottom w:val="nil"/>
          <w:right w:val="nil"/>
          <w:between w:val="nil"/>
        </w:pBdr>
        <w:rPr>
          <w:b/>
          <w:color w:val="000000"/>
          <w:sz w:val="22"/>
          <w:szCs w:val="22"/>
        </w:rPr>
      </w:pPr>
    </w:p>
    <w:p w14:paraId="59E7529D" w14:textId="1FDAE5ED" w:rsidR="0068443A" w:rsidRDefault="00332DCB">
      <w:pPr>
        <w:rPr>
          <w:color w:val="000000"/>
          <w:sz w:val="22"/>
          <w:szCs w:val="22"/>
        </w:rPr>
      </w:pPr>
      <w:r>
        <w:rPr>
          <w:color w:val="000000"/>
          <w:sz w:val="22"/>
          <w:szCs w:val="22"/>
        </w:rPr>
        <w:t>Während der Schwangerschaft unterliegt der Körper vielen Veränderungen. Die Mundhöhle ist davon nicht ausgenommen. Der in dieser Zeit erhöhte Hormonspiegel kann Einfluss auf die Zusammensetzung der bakteriellen Zahnbeläge (</w:t>
      </w:r>
      <w:r w:rsidR="00493D8C">
        <w:rPr>
          <w:color w:val="000000"/>
          <w:sz w:val="22"/>
          <w:szCs w:val="22"/>
        </w:rPr>
        <w:t>Biof</w:t>
      </w:r>
      <w:r w:rsidR="00267305">
        <w:rPr>
          <w:color w:val="000000"/>
          <w:sz w:val="22"/>
          <w:szCs w:val="22"/>
        </w:rPr>
        <w:t>il</w:t>
      </w:r>
      <w:r w:rsidR="00493D8C">
        <w:rPr>
          <w:color w:val="000000"/>
          <w:sz w:val="22"/>
          <w:szCs w:val="22"/>
        </w:rPr>
        <w:t>m</w:t>
      </w:r>
      <w:r>
        <w:rPr>
          <w:color w:val="000000"/>
          <w:sz w:val="22"/>
          <w:szCs w:val="22"/>
        </w:rPr>
        <w:t>) nehmen und die Durchlässigkeit von Gefäßen erhöhen. Dadurch können bestehende Entzündungen in der Mundhöhle verstärkt werden, häufig kommt es zur Gingivitis.</w:t>
      </w:r>
    </w:p>
    <w:p w14:paraId="1A5948EC" w14:textId="77777777" w:rsidR="0068443A" w:rsidRDefault="0068443A">
      <w:pPr>
        <w:rPr>
          <w:color w:val="000000"/>
          <w:sz w:val="22"/>
          <w:szCs w:val="22"/>
        </w:rPr>
      </w:pPr>
    </w:p>
    <w:p w14:paraId="6E4F512F" w14:textId="77777777" w:rsidR="0068443A" w:rsidRDefault="00332DCB">
      <w:pPr>
        <w:rPr>
          <w:b/>
          <w:color w:val="000000"/>
          <w:sz w:val="22"/>
          <w:szCs w:val="22"/>
        </w:rPr>
      </w:pPr>
      <w:r>
        <w:rPr>
          <w:b/>
          <w:color w:val="000000"/>
          <w:sz w:val="22"/>
          <w:szCs w:val="22"/>
        </w:rPr>
        <w:t xml:space="preserve">Gingivitis bei Schwangeren – nicht ignorieren </w:t>
      </w:r>
    </w:p>
    <w:p w14:paraId="73EA74E7" w14:textId="0FECA5C8" w:rsidR="0068443A" w:rsidRDefault="00332DCB">
      <w:pPr>
        <w:rPr>
          <w:color w:val="000000"/>
          <w:sz w:val="22"/>
          <w:szCs w:val="22"/>
        </w:rPr>
      </w:pPr>
      <w:r>
        <w:rPr>
          <w:color w:val="000000"/>
          <w:sz w:val="22"/>
          <w:szCs w:val="22"/>
        </w:rPr>
        <w:t xml:space="preserve">Typische Symptome einer Gingivitis sind eine Schwellung und/oder Rötung des Zahnfleisches. Auch kann das Gewebe beim Essen oder Zähneputzen bluten. Nach Entfernung </w:t>
      </w:r>
      <w:r w:rsidR="00493D8C">
        <w:rPr>
          <w:color w:val="000000"/>
          <w:sz w:val="22"/>
          <w:szCs w:val="22"/>
        </w:rPr>
        <w:t>des bakteriellen Biofilms</w:t>
      </w:r>
      <w:r>
        <w:rPr>
          <w:color w:val="000000"/>
          <w:sz w:val="22"/>
          <w:szCs w:val="22"/>
        </w:rPr>
        <w:t xml:space="preserve"> stehen die Chancen für eine vollständige Heilung gut. Trotzdem sollte zahnärztliche Kontrolle erfolgen. Professorin Dr. Bernadette </w:t>
      </w:r>
      <w:proofErr w:type="spellStart"/>
      <w:r>
        <w:rPr>
          <w:color w:val="000000"/>
          <w:sz w:val="22"/>
          <w:szCs w:val="22"/>
        </w:rPr>
        <w:t>Pretzl</w:t>
      </w:r>
      <w:proofErr w:type="spellEnd"/>
      <w:r>
        <w:rPr>
          <w:color w:val="000000"/>
          <w:sz w:val="22"/>
          <w:szCs w:val="22"/>
        </w:rPr>
        <w:t>,</w:t>
      </w:r>
      <w:r w:rsidR="00B27740">
        <w:rPr>
          <w:color w:val="000000"/>
          <w:sz w:val="22"/>
          <w:szCs w:val="22"/>
        </w:rPr>
        <w:t xml:space="preserve"> </w:t>
      </w:r>
      <w:r>
        <w:rPr>
          <w:color w:val="000000"/>
          <w:sz w:val="22"/>
          <w:szCs w:val="22"/>
        </w:rPr>
        <w:t>Oberärztin an der Poliklinik für Zahnerhaltungskunde in Heidelberg und Mitautorin des neuen Ratgebers, betont zudem die Notwendigkeit der Prophylaxe: „Gingivitis ist gerade in der Schwangerschaft nicht als harmlos anzusehen und kann auch den Beginn einer Parodontitis darstellen. Gründliche Mundhygiene ist für die Prävention daher essenziell.“</w:t>
      </w:r>
    </w:p>
    <w:p w14:paraId="0493B370" w14:textId="77777777" w:rsidR="0068443A" w:rsidRDefault="0068443A">
      <w:pPr>
        <w:rPr>
          <w:color w:val="000000"/>
          <w:sz w:val="22"/>
          <w:szCs w:val="22"/>
        </w:rPr>
      </w:pPr>
    </w:p>
    <w:p w14:paraId="31578A5C" w14:textId="5CEC2F13" w:rsidR="0068443A" w:rsidRDefault="00493D8C">
      <w:pPr>
        <w:rPr>
          <w:b/>
          <w:color w:val="000000"/>
          <w:sz w:val="22"/>
          <w:szCs w:val="22"/>
        </w:rPr>
      </w:pPr>
      <w:r>
        <w:rPr>
          <w:b/>
          <w:color w:val="000000"/>
          <w:sz w:val="22"/>
          <w:szCs w:val="22"/>
        </w:rPr>
        <w:t xml:space="preserve">Biofilmentfernung </w:t>
      </w:r>
      <w:r w:rsidR="00332DCB">
        <w:rPr>
          <w:b/>
          <w:color w:val="000000"/>
          <w:sz w:val="22"/>
          <w:szCs w:val="22"/>
        </w:rPr>
        <w:t>für die Zahnfleisch-Prophylaxe</w:t>
      </w:r>
    </w:p>
    <w:p w14:paraId="0663A785" w14:textId="09D66768" w:rsidR="0068443A" w:rsidRDefault="00332DCB">
      <w:pPr>
        <w:rPr>
          <w:color w:val="000000"/>
          <w:sz w:val="22"/>
          <w:szCs w:val="22"/>
        </w:rPr>
      </w:pPr>
      <w:r>
        <w:rPr>
          <w:color w:val="000000"/>
          <w:sz w:val="22"/>
          <w:szCs w:val="22"/>
        </w:rPr>
        <w:t xml:space="preserve">Wird </w:t>
      </w:r>
      <w:r w:rsidR="00493D8C">
        <w:rPr>
          <w:color w:val="000000"/>
          <w:sz w:val="22"/>
          <w:szCs w:val="22"/>
        </w:rPr>
        <w:t xml:space="preserve">der Biofilm </w:t>
      </w:r>
      <w:r>
        <w:rPr>
          <w:color w:val="000000"/>
          <w:sz w:val="22"/>
          <w:szCs w:val="22"/>
        </w:rPr>
        <w:t xml:space="preserve">nicht ausreichend entfernt, nimmt die Menge der Bakterien auf den Zähnen zu und die Zusammensetzung der Bakterienflora im Mund </w:t>
      </w:r>
      <w:r>
        <w:rPr>
          <w:color w:val="000000"/>
          <w:sz w:val="22"/>
          <w:szCs w:val="22"/>
        </w:rPr>
        <w:lastRenderedPageBreak/>
        <w:t xml:space="preserve">verschiebt sich zum Krankhaften (Dysbiose). Um einer Gingivitis und damit auch einer Parodontitis vorzubeugen, sollten die Zähne zweimal täglich sorgfältig mit einer Zahnbürste und fluoridhaltiger Zahnpasta gereinigt werden. Für die Reinigung der Zahnzwischenräume sind Interdentalbürsten am besten geeignet. Bei sehr engen Zwischenräumen empfiehlt sich Zahnseide. </w:t>
      </w:r>
      <w:bookmarkStart w:id="0" w:name="_Hlk74039054"/>
      <w:r>
        <w:rPr>
          <w:color w:val="000000"/>
          <w:sz w:val="22"/>
          <w:szCs w:val="22"/>
        </w:rPr>
        <w:t xml:space="preserve">Mundspüllösungen bieten </w:t>
      </w:r>
      <w:r w:rsidR="002B3A78">
        <w:rPr>
          <w:color w:val="000000"/>
          <w:sz w:val="22"/>
          <w:szCs w:val="22"/>
        </w:rPr>
        <w:t>einen zusätzlichen Nutzen bei der Behandlung von</w:t>
      </w:r>
      <w:r w:rsidR="00B27740">
        <w:rPr>
          <w:color w:val="000000"/>
          <w:sz w:val="22"/>
          <w:szCs w:val="22"/>
        </w:rPr>
        <w:t xml:space="preserve"> Gingivitis</w:t>
      </w:r>
      <w:r w:rsidR="002B3A78">
        <w:rPr>
          <w:color w:val="000000"/>
          <w:sz w:val="22"/>
          <w:szCs w:val="22"/>
        </w:rPr>
        <w:t xml:space="preserve">. </w:t>
      </w:r>
      <w:r>
        <w:rPr>
          <w:color w:val="000000"/>
          <w:sz w:val="22"/>
          <w:szCs w:val="22"/>
        </w:rPr>
        <w:t>Sie sind aber kein Ersatz für die mechanische Zahnreinigung.</w:t>
      </w:r>
    </w:p>
    <w:bookmarkEnd w:id="0"/>
    <w:p w14:paraId="381E405B" w14:textId="77777777" w:rsidR="0068443A" w:rsidRDefault="0068443A">
      <w:pPr>
        <w:rPr>
          <w:color w:val="000000"/>
          <w:sz w:val="22"/>
          <w:szCs w:val="22"/>
        </w:rPr>
      </w:pPr>
    </w:p>
    <w:p w14:paraId="7B97AEE2" w14:textId="77777777" w:rsidR="0068443A" w:rsidRDefault="00332DCB">
      <w:pPr>
        <w:rPr>
          <w:b/>
          <w:color w:val="000000"/>
          <w:sz w:val="22"/>
          <w:szCs w:val="22"/>
        </w:rPr>
      </w:pPr>
      <w:r>
        <w:rPr>
          <w:b/>
          <w:color w:val="000000"/>
          <w:sz w:val="22"/>
          <w:szCs w:val="22"/>
        </w:rPr>
        <w:t>Interdisziplinär gegen Risiken durch parodontale Erkrankungen</w:t>
      </w:r>
    </w:p>
    <w:p w14:paraId="051D0D6A" w14:textId="5A1BBE33" w:rsidR="0068443A" w:rsidRDefault="00332DCB">
      <w:pPr>
        <w:rPr>
          <w:color w:val="000000"/>
          <w:sz w:val="22"/>
          <w:szCs w:val="22"/>
        </w:rPr>
      </w:pPr>
      <w:r>
        <w:rPr>
          <w:color w:val="000000"/>
          <w:sz w:val="22"/>
          <w:szCs w:val="22"/>
        </w:rPr>
        <w:t>Damit Zahnverlust und Komplikationen in der Schwangerschaft möglichst vermieden werden können, braucht es auch zahnärztliche Betreuung. Professorin Dr. Bettina Dannewitz</w:t>
      </w:r>
      <w:r w:rsidR="009979BE">
        <w:rPr>
          <w:color w:val="000000"/>
          <w:sz w:val="22"/>
          <w:szCs w:val="22"/>
        </w:rPr>
        <w:t xml:space="preserve">, </w:t>
      </w:r>
      <w:r>
        <w:rPr>
          <w:color w:val="000000"/>
          <w:sz w:val="22"/>
          <w:szCs w:val="22"/>
        </w:rPr>
        <w:t>Präsidentin der DG PARO und ebenfalls Mitautorin des Ratgebers, führt aus: „</w:t>
      </w:r>
      <w:r w:rsidR="004912D1">
        <w:rPr>
          <w:color w:val="000000"/>
          <w:sz w:val="22"/>
          <w:szCs w:val="22"/>
        </w:rPr>
        <w:t>S</w:t>
      </w:r>
      <w:r w:rsidR="004912D1" w:rsidRPr="004912D1">
        <w:rPr>
          <w:color w:val="000000"/>
          <w:sz w:val="22"/>
          <w:szCs w:val="22"/>
        </w:rPr>
        <w:t>chon</w:t>
      </w:r>
      <w:r w:rsidR="004912D1">
        <w:rPr>
          <w:color w:val="000000"/>
          <w:sz w:val="22"/>
          <w:szCs w:val="22"/>
        </w:rPr>
        <w:t xml:space="preserve"> in der Phase des</w:t>
      </w:r>
      <w:r w:rsidR="004912D1" w:rsidRPr="004912D1">
        <w:rPr>
          <w:color w:val="000000"/>
          <w:sz w:val="22"/>
          <w:szCs w:val="22"/>
        </w:rPr>
        <w:t xml:space="preserve"> Kinderwunsch</w:t>
      </w:r>
      <w:r w:rsidR="004912D1">
        <w:rPr>
          <w:color w:val="000000"/>
          <w:sz w:val="22"/>
          <w:szCs w:val="22"/>
        </w:rPr>
        <w:t>es sollte</w:t>
      </w:r>
      <w:r w:rsidR="004912D1" w:rsidRPr="004912D1">
        <w:rPr>
          <w:color w:val="000000"/>
          <w:sz w:val="22"/>
          <w:szCs w:val="22"/>
        </w:rPr>
        <w:t xml:space="preserve"> eine eingehende Kontrolle der Mundgesundheit und Abklärung der parodontalen Situation erfolgen</w:t>
      </w:r>
      <w:r w:rsidR="004912D1">
        <w:rPr>
          <w:color w:val="000000"/>
          <w:sz w:val="22"/>
          <w:szCs w:val="22"/>
        </w:rPr>
        <w:t>. Zwar kann Parodontitis</w:t>
      </w:r>
      <w:r w:rsidR="004912D1" w:rsidRPr="004912D1">
        <w:rPr>
          <w:color w:val="000000"/>
          <w:sz w:val="22"/>
          <w:szCs w:val="22"/>
        </w:rPr>
        <w:t xml:space="preserve"> zumeist auch während der Schwangerschaft</w:t>
      </w:r>
      <w:r w:rsidR="009E40DE">
        <w:rPr>
          <w:color w:val="000000"/>
          <w:sz w:val="22"/>
          <w:szCs w:val="22"/>
        </w:rPr>
        <w:t xml:space="preserve"> gut</w:t>
      </w:r>
      <w:r w:rsidR="004912D1" w:rsidRPr="004912D1">
        <w:rPr>
          <w:color w:val="000000"/>
          <w:sz w:val="22"/>
          <w:szCs w:val="22"/>
        </w:rPr>
        <w:t xml:space="preserve"> behandelt werden. Der positive Effekt der Therapie ist aber umso größer</w:t>
      </w:r>
      <w:r w:rsidR="004912D1">
        <w:rPr>
          <w:color w:val="000000"/>
          <w:sz w:val="22"/>
          <w:szCs w:val="22"/>
        </w:rPr>
        <w:t>,</w:t>
      </w:r>
      <w:r w:rsidR="004912D1" w:rsidRPr="004912D1">
        <w:rPr>
          <w:color w:val="000000"/>
          <w:sz w:val="22"/>
          <w:szCs w:val="22"/>
        </w:rPr>
        <w:t xml:space="preserve"> je früher die Intervention erfolgt.</w:t>
      </w:r>
      <w:r>
        <w:rPr>
          <w:color w:val="000000"/>
          <w:sz w:val="22"/>
          <w:szCs w:val="22"/>
        </w:rPr>
        <w:t>“ Darüber hinaus ist eine enge Zusammenarbeit zwischen frauenärztlichem und zahnärztlichem Team notwendig</w:t>
      </w:r>
      <w:r w:rsidR="004912D1">
        <w:rPr>
          <w:color w:val="000000"/>
          <w:sz w:val="22"/>
          <w:szCs w:val="22"/>
        </w:rPr>
        <w:t xml:space="preserve">. </w:t>
      </w:r>
      <w:r>
        <w:rPr>
          <w:color w:val="000000"/>
          <w:sz w:val="22"/>
          <w:szCs w:val="22"/>
        </w:rPr>
        <w:t xml:space="preserve">Die </w:t>
      </w:r>
      <w:r w:rsidR="009979BE">
        <w:rPr>
          <w:color w:val="000000"/>
          <w:sz w:val="22"/>
          <w:szCs w:val="22"/>
        </w:rPr>
        <w:t>DG PARO</w:t>
      </w:r>
      <w:r>
        <w:rPr>
          <w:color w:val="000000"/>
          <w:sz w:val="22"/>
          <w:szCs w:val="22"/>
        </w:rPr>
        <w:t xml:space="preserve">, die Österreichische Gesellschaft für Parodontologie (ÖGP), die Schweizerische Gesellschaft für Parodontologie (SSP) sowie die Deutsche Gesellschaft für Gynäkologie und Geburtshilfe e. V. (DGGG), welche allesamt zu den Herausgebern des neuen Ratgebers gehören, setzen sich für eine bessere Zusammenarbeit von </w:t>
      </w:r>
      <w:proofErr w:type="spellStart"/>
      <w:r>
        <w:rPr>
          <w:color w:val="000000"/>
          <w:sz w:val="22"/>
          <w:szCs w:val="22"/>
        </w:rPr>
        <w:t>Zahnärzt</w:t>
      </w:r>
      <w:proofErr w:type="spellEnd"/>
      <w:r>
        <w:rPr>
          <w:color w:val="000000"/>
          <w:sz w:val="22"/>
          <w:szCs w:val="22"/>
        </w:rPr>
        <w:t xml:space="preserve">*innen und </w:t>
      </w:r>
      <w:proofErr w:type="spellStart"/>
      <w:r>
        <w:rPr>
          <w:color w:val="000000"/>
          <w:sz w:val="22"/>
          <w:szCs w:val="22"/>
        </w:rPr>
        <w:t>Frauenärzt</w:t>
      </w:r>
      <w:proofErr w:type="spellEnd"/>
      <w:r>
        <w:rPr>
          <w:color w:val="000000"/>
          <w:sz w:val="22"/>
          <w:szCs w:val="22"/>
        </w:rPr>
        <w:t xml:space="preserve">*innen ein. </w:t>
      </w:r>
    </w:p>
    <w:p w14:paraId="469851FB" w14:textId="77777777" w:rsidR="0068443A" w:rsidRDefault="0068443A">
      <w:pPr>
        <w:rPr>
          <w:sz w:val="22"/>
          <w:szCs w:val="22"/>
        </w:rPr>
      </w:pPr>
    </w:p>
    <w:p w14:paraId="5C8DE60B" w14:textId="77777777" w:rsidR="0068443A" w:rsidRDefault="00332DCB">
      <w:pPr>
        <w:rPr>
          <w:sz w:val="22"/>
          <w:szCs w:val="22"/>
        </w:rPr>
      </w:pPr>
      <w:r>
        <w:rPr>
          <w:sz w:val="22"/>
          <w:szCs w:val="22"/>
        </w:rPr>
        <w:t>Kostenfreie Exemplare des Ratgebers “Gesundes Zahnfleisch bei Kinderwunsch und Schwangerschaft” für die eigene Praxis können per E-Mail oder Fax im Servicecenter von CP GABA bestellt werden:</w:t>
      </w:r>
    </w:p>
    <w:p w14:paraId="4ABF285C" w14:textId="77777777" w:rsidR="0068443A" w:rsidRDefault="00332DCB">
      <w:pPr>
        <w:rPr>
          <w:sz w:val="22"/>
          <w:szCs w:val="22"/>
        </w:rPr>
      </w:pPr>
      <w:r>
        <w:rPr>
          <w:sz w:val="22"/>
          <w:szCs w:val="22"/>
        </w:rPr>
        <w:t>E-Mail: CSDentalDE@CPGaba.com, Fax: 0180 - 510 129 025</w:t>
      </w:r>
      <w:r w:rsidR="00BB3832">
        <w:rPr>
          <w:sz w:val="22"/>
          <w:szCs w:val="22"/>
        </w:rPr>
        <w:t>.</w:t>
      </w:r>
    </w:p>
    <w:p w14:paraId="227C2EA3" w14:textId="77777777" w:rsidR="0068443A" w:rsidRDefault="0068443A">
      <w:pPr>
        <w:rPr>
          <w:sz w:val="22"/>
          <w:szCs w:val="22"/>
        </w:rPr>
      </w:pPr>
    </w:p>
    <w:p w14:paraId="1115D532" w14:textId="77777777" w:rsidR="0068443A" w:rsidRDefault="0068443A">
      <w:pPr>
        <w:rPr>
          <w:color w:val="000000"/>
          <w:sz w:val="22"/>
          <w:szCs w:val="22"/>
        </w:rPr>
      </w:pPr>
    </w:p>
    <w:p w14:paraId="0DA09890" w14:textId="77777777" w:rsidR="0068443A" w:rsidRDefault="00332DCB">
      <w:pPr>
        <w:pBdr>
          <w:top w:val="nil"/>
          <w:left w:val="nil"/>
          <w:bottom w:val="nil"/>
          <w:right w:val="nil"/>
          <w:between w:val="nil"/>
        </w:pBdr>
        <w:spacing w:line="276" w:lineRule="auto"/>
        <w:rPr>
          <w:color w:val="000000"/>
          <w:sz w:val="22"/>
          <w:szCs w:val="22"/>
        </w:rPr>
      </w:pPr>
      <w:r>
        <w:rPr>
          <w:color w:val="000000"/>
          <w:sz w:val="22"/>
          <w:szCs w:val="22"/>
        </w:rPr>
        <w:t>#Schwangerschaft #Ratgeber #Zahnfleisch #Gingivitis #Parodontitis #Zahnfleischentzündung #CPGABA #Mundhygiene #Prophylaxe</w:t>
      </w:r>
    </w:p>
    <w:p w14:paraId="65098508" w14:textId="77777777" w:rsidR="0068443A" w:rsidRDefault="0068443A">
      <w:pPr>
        <w:pBdr>
          <w:top w:val="nil"/>
          <w:left w:val="nil"/>
          <w:bottom w:val="nil"/>
          <w:right w:val="nil"/>
          <w:between w:val="nil"/>
        </w:pBdr>
        <w:spacing w:line="276" w:lineRule="auto"/>
        <w:rPr>
          <w:color w:val="000000"/>
          <w:sz w:val="22"/>
          <w:szCs w:val="22"/>
          <w:highlight w:val="lightGray"/>
        </w:rPr>
      </w:pPr>
    </w:p>
    <w:p w14:paraId="39417101" w14:textId="77777777" w:rsidR="0068443A" w:rsidRPr="008F1BD9" w:rsidRDefault="00332DCB">
      <w:pPr>
        <w:pBdr>
          <w:top w:val="nil"/>
          <w:left w:val="nil"/>
          <w:bottom w:val="nil"/>
          <w:right w:val="nil"/>
          <w:between w:val="nil"/>
        </w:pBdr>
        <w:rPr>
          <w:b/>
          <w:color w:val="000000"/>
          <w:sz w:val="18"/>
          <w:szCs w:val="18"/>
        </w:rPr>
      </w:pPr>
      <w:r w:rsidRPr="008F1BD9">
        <w:rPr>
          <w:b/>
          <w:color w:val="000000"/>
          <w:sz w:val="18"/>
          <w:szCs w:val="18"/>
        </w:rPr>
        <w:t>Quellen</w:t>
      </w:r>
    </w:p>
    <w:p w14:paraId="0DBACC72" w14:textId="570575FE" w:rsidR="0068443A" w:rsidRPr="005827B8" w:rsidRDefault="00332DCB" w:rsidP="005827B8">
      <w:pPr>
        <w:pBdr>
          <w:top w:val="nil"/>
          <w:left w:val="nil"/>
          <w:bottom w:val="nil"/>
          <w:right w:val="nil"/>
          <w:between w:val="nil"/>
        </w:pBdr>
        <w:spacing w:line="276" w:lineRule="auto"/>
        <w:rPr>
          <w:color w:val="000000"/>
          <w:sz w:val="22"/>
          <w:szCs w:val="22"/>
          <w:lang w:val="en-GB"/>
        </w:rPr>
      </w:pPr>
      <w:r w:rsidRPr="005827B8">
        <w:rPr>
          <w:color w:val="000000"/>
          <w:sz w:val="18"/>
          <w:szCs w:val="18"/>
        </w:rPr>
        <w:t xml:space="preserve">[1] </w:t>
      </w:r>
      <w:r w:rsidR="005827B8" w:rsidRPr="005827B8">
        <w:rPr>
          <w:color w:val="000000"/>
          <w:sz w:val="18"/>
          <w:szCs w:val="18"/>
        </w:rPr>
        <w:t>Sanz M et al (201</w:t>
      </w:r>
      <w:r w:rsidR="005827B8">
        <w:rPr>
          <w:color w:val="000000"/>
          <w:sz w:val="18"/>
          <w:szCs w:val="18"/>
        </w:rPr>
        <w:t xml:space="preserve">3). </w:t>
      </w:r>
      <w:proofErr w:type="spellStart"/>
      <w:r w:rsidR="005827B8" w:rsidRPr="005827B8">
        <w:rPr>
          <w:color w:val="000000"/>
          <w:sz w:val="18"/>
          <w:szCs w:val="18"/>
          <w:lang w:val="en-GB"/>
        </w:rPr>
        <w:t>Periodontits</w:t>
      </w:r>
      <w:proofErr w:type="spellEnd"/>
      <w:r w:rsidR="005827B8" w:rsidRPr="005827B8">
        <w:rPr>
          <w:color w:val="000000"/>
          <w:sz w:val="18"/>
          <w:szCs w:val="18"/>
          <w:lang w:val="en-GB"/>
        </w:rPr>
        <w:t xml:space="preserve"> and adverse pregnancy o</w:t>
      </w:r>
      <w:r w:rsidR="005827B8">
        <w:rPr>
          <w:color w:val="000000"/>
          <w:sz w:val="18"/>
          <w:szCs w:val="18"/>
          <w:lang w:val="en-GB"/>
        </w:rPr>
        <w:t>utcomes: consensus report of the Joint EFP/AAP Workshop on Periodontitis and Systemic Diseases. Journal of Clinical Periodontology 2013; 40 (Suppl. 14): S164-S169</w:t>
      </w:r>
    </w:p>
    <w:p w14:paraId="5241E68A" w14:textId="7D16E8FF" w:rsidR="00BB3832" w:rsidRDefault="00BB3832">
      <w:pPr>
        <w:pBdr>
          <w:top w:val="nil"/>
          <w:left w:val="nil"/>
          <w:bottom w:val="nil"/>
          <w:right w:val="nil"/>
          <w:between w:val="nil"/>
        </w:pBdr>
        <w:spacing w:line="276" w:lineRule="auto"/>
        <w:rPr>
          <w:color w:val="000000"/>
          <w:sz w:val="22"/>
          <w:szCs w:val="22"/>
          <w:lang w:val="en-GB"/>
        </w:rPr>
      </w:pPr>
    </w:p>
    <w:p w14:paraId="72F58402" w14:textId="77777777" w:rsidR="00A613E9" w:rsidRPr="005827B8" w:rsidRDefault="00A613E9">
      <w:pPr>
        <w:pBdr>
          <w:top w:val="nil"/>
          <w:left w:val="nil"/>
          <w:bottom w:val="nil"/>
          <w:right w:val="nil"/>
          <w:between w:val="nil"/>
        </w:pBdr>
        <w:spacing w:line="276" w:lineRule="auto"/>
        <w:rPr>
          <w:color w:val="000000"/>
          <w:sz w:val="22"/>
          <w:szCs w:val="22"/>
          <w:lang w:val="en-GB"/>
        </w:rPr>
      </w:pPr>
    </w:p>
    <w:p w14:paraId="45360DA8" w14:textId="77777777" w:rsidR="0068443A" w:rsidRDefault="00332DCB">
      <w:pPr>
        <w:pBdr>
          <w:top w:val="nil"/>
          <w:left w:val="nil"/>
          <w:bottom w:val="nil"/>
          <w:right w:val="nil"/>
          <w:between w:val="nil"/>
        </w:pBdr>
        <w:rPr>
          <w:b/>
          <w:color w:val="000000"/>
          <w:sz w:val="18"/>
          <w:szCs w:val="18"/>
        </w:rPr>
      </w:pPr>
      <w:bookmarkStart w:id="1" w:name="_gjdgxs" w:colFirst="0" w:colLast="0"/>
      <w:bookmarkEnd w:id="1"/>
      <w:r>
        <w:rPr>
          <w:b/>
          <w:color w:val="000000"/>
          <w:sz w:val="18"/>
          <w:szCs w:val="18"/>
        </w:rPr>
        <w:t>Grafikvorschau</w:t>
      </w:r>
    </w:p>
    <w:tbl>
      <w:tblPr>
        <w:tblStyle w:val="a"/>
        <w:tblW w:w="368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tblGrid>
      <w:tr w:rsidR="0068443A" w14:paraId="0CC3B884" w14:textId="77777777">
        <w:trPr>
          <w:trHeight w:val="2010"/>
        </w:trPr>
        <w:tc>
          <w:tcPr>
            <w:tcW w:w="3681" w:type="dxa"/>
          </w:tcPr>
          <w:p w14:paraId="45B6B17C" w14:textId="77777777" w:rsidR="0068443A" w:rsidRDefault="00332DCB">
            <w:pPr>
              <w:rPr>
                <w:b/>
                <w:color w:val="000000"/>
                <w:sz w:val="18"/>
                <w:szCs w:val="18"/>
              </w:rPr>
            </w:pPr>
            <w:r>
              <w:rPr>
                <w:b/>
                <w:noProof/>
                <w:color w:val="000000"/>
                <w:sz w:val="18"/>
                <w:szCs w:val="18"/>
              </w:rPr>
              <w:lastRenderedPageBreak/>
              <w:drawing>
                <wp:inline distT="0" distB="0" distL="0" distR="0" wp14:anchorId="2B7478E0" wp14:editId="2E4DFEB8">
                  <wp:extent cx="1632129" cy="326360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1632129" cy="3263600"/>
                          </a:xfrm>
                          <a:prstGeom prst="rect">
                            <a:avLst/>
                          </a:prstGeom>
                          <a:ln/>
                        </pic:spPr>
                      </pic:pic>
                    </a:graphicData>
                  </a:graphic>
                </wp:inline>
              </w:drawing>
            </w:r>
          </w:p>
        </w:tc>
      </w:tr>
      <w:tr w:rsidR="0068443A" w14:paraId="6C7825E8" w14:textId="77777777">
        <w:trPr>
          <w:trHeight w:val="500"/>
        </w:trPr>
        <w:tc>
          <w:tcPr>
            <w:tcW w:w="3681" w:type="dxa"/>
          </w:tcPr>
          <w:p w14:paraId="4B8A6AF5" w14:textId="77777777" w:rsidR="0068443A" w:rsidRDefault="00332DCB">
            <w:pPr>
              <w:pBdr>
                <w:top w:val="nil"/>
                <w:left w:val="nil"/>
                <w:bottom w:val="nil"/>
                <w:right w:val="nil"/>
                <w:between w:val="nil"/>
              </w:pBdr>
              <w:rPr>
                <w:color w:val="000000"/>
                <w:sz w:val="18"/>
                <w:szCs w:val="18"/>
              </w:rPr>
            </w:pPr>
            <w:proofErr w:type="spellStart"/>
            <w:r>
              <w:rPr>
                <w:color w:val="000000"/>
                <w:sz w:val="18"/>
                <w:szCs w:val="18"/>
              </w:rPr>
              <w:t>Bildinfo</w:t>
            </w:r>
            <w:proofErr w:type="spellEnd"/>
            <w:r>
              <w:rPr>
                <w:color w:val="000000"/>
                <w:sz w:val="18"/>
                <w:szCs w:val="18"/>
              </w:rPr>
              <w:t>: Ratgeber „Gesundes Zahnfleisch bei Kinderwunsch und Schwangerschaft“</w:t>
            </w:r>
          </w:p>
          <w:p w14:paraId="18360C07" w14:textId="78AE3138" w:rsidR="0068443A" w:rsidRDefault="00332DCB">
            <w:pPr>
              <w:pBdr>
                <w:top w:val="nil"/>
                <w:left w:val="nil"/>
                <w:bottom w:val="nil"/>
                <w:right w:val="nil"/>
                <w:between w:val="nil"/>
              </w:pBdr>
              <w:rPr>
                <w:color w:val="000000"/>
                <w:sz w:val="18"/>
                <w:szCs w:val="18"/>
              </w:rPr>
            </w:pPr>
            <w:r>
              <w:rPr>
                <w:color w:val="000000"/>
                <w:sz w:val="18"/>
                <w:szCs w:val="18"/>
              </w:rPr>
              <w:t xml:space="preserve">Bildrechte </w:t>
            </w:r>
            <w:r w:rsidR="00C96101">
              <w:rPr>
                <w:color w:val="000000"/>
                <w:sz w:val="18"/>
                <w:szCs w:val="18"/>
              </w:rPr>
              <w:t xml:space="preserve">Titelbild: </w:t>
            </w:r>
            <w:r w:rsidR="00C96101" w:rsidRPr="00C96101">
              <w:rPr>
                <w:color w:val="000000"/>
                <w:sz w:val="18"/>
                <w:szCs w:val="18"/>
              </w:rPr>
              <w:t>iStock</w:t>
            </w:r>
            <w:r w:rsidR="00C96101">
              <w:rPr>
                <w:color w:val="000000"/>
                <w:sz w:val="18"/>
                <w:szCs w:val="18"/>
              </w:rPr>
              <w:t xml:space="preserve"> – </w:t>
            </w:r>
            <w:proofErr w:type="spellStart"/>
            <w:r w:rsidR="00C96101" w:rsidRPr="00C96101">
              <w:rPr>
                <w:color w:val="000000"/>
                <w:sz w:val="18"/>
                <w:szCs w:val="18"/>
              </w:rPr>
              <w:t>Clerkenwell</w:t>
            </w:r>
            <w:proofErr w:type="spellEnd"/>
            <w:r w:rsidR="00C96101">
              <w:rPr>
                <w:color w:val="000000"/>
                <w:sz w:val="18"/>
                <w:szCs w:val="18"/>
              </w:rPr>
              <w:t xml:space="preserve">, </w:t>
            </w:r>
            <w:r w:rsidR="005827B8">
              <w:rPr>
                <w:color w:val="000000"/>
                <w:sz w:val="18"/>
                <w:szCs w:val="18"/>
              </w:rPr>
              <w:t>DG PARO</w:t>
            </w:r>
          </w:p>
        </w:tc>
      </w:tr>
    </w:tbl>
    <w:p w14:paraId="58532C6B" w14:textId="77777777" w:rsidR="0068443A" w:rsidRDefault="0068443A">
      <w:pPr>
        <w:pBdr>
          <w:top w:val="nil"/>
          <w:left w:val="nil"/>
          <w:bottom w:val="nil"/>
          <w:right w:val="nil"/>
          <w:between w:val="nil"/>
        </w:pBdr>
        <w:rPr>
          <w:i/>
          <w:color w:val="000000"/>
          <w:sz w:val="18"/>
          <w:szCs w:val="18"/>
        </w:rPr>
      </w:pPr>
    </w:p>
    <w:p w14:paraId="084FF625" w14:textId="77777777" w:rsidR="006A1F86" w:rsidRDefault="00332DCB">
      <w:pPr>
        <w:pBdr>
          <w:top w:val="nil"/>
          <w:left w:val="nil"/>
          <w:bottom w:val="nil"/>
          <w:right w:val="nil"/>
          <w:between w:val="nil"/>
        </w:pBdr>
        <w:rPr>
          <w:i/>
          <w:color w:val="000000"/>
          <w:sz w:val="18"/>
          <w:szCs w:val="18"/>
        </w:rPr>
      </w:pPr>
      <w:r w:rsidRPr="006A1F86">
        <w:rPr>
          <w:i/>
          <w:color w:val="000000"/>
          <w:sz w:val="18"/>
          <w:szCs w:val="18"/>
        </w:rPr>
        <w:t xml:space="preserve">Druckfähige Abbildungen unter: </w:t>
      </w:r>
    </w:p>
    <w:p w14:paraId="09DBD785" w14:textId="7EA2AEAC" w:rsidR="0068443A" w:rsidRDefault="00D029D5">
      <w:pPr>
        <w:pBdr>
          <w:top w:val="nil"/>
          <w:left w:val="nil"/>
          <w:bottom w:val="nil"/>
          <w:right w:val="nil"/>
          <w:between w:val="nil"/>
        </w:pBdr>
        <w:rPr>
          <w:i/>
          <w:sz w:val="18"/>
          <w:szCs w:val="18"/>
        </w:rPr>
      </w:pPr>
      <w:hyperlink r:id="rId8" w:history="1">
        <w:r w:rsidR="006A1F86" w:rsidRPr="006A1F86">
          <w:rPr>
            <w:rStyle w:val="Hyperlink"/>
            <w:i/>
            <w:sz w:val="18"/>
            <w:szCs w:val="18"/>
          </w:rPr>
          <w:t>www.accente.de/downloadbereich/neuer_paroratgeber_schwangerschaft</w:t>
        </w:r>
      </w:hyperlink>
    </w:p>
    <w:p w14:paraId="51E7CA34" w14:textId="77777777" w:rsidR="0068443A" w:rsidRDefault="0068443A">
      <w:pPr>
        <w:pBdr>
          <w:top w:val="nil"/>
          <w:left w:val="nil"/>
          <w:bottom w:val="nil"/>
          <w:right w:val="nil"/>
          <w:between w:val="nil"/>
        </w:pBdr>
        <w:rPr>
          <w:i/>
          <w:sz w:val="18"/>
          <w:szCs w:val="18"/>
        </w:rPr>
      </w:pPr>
    </w:p>
    <w:p w14:paraId="44451245" w14:textId="77777777" w:rsidR="0068443A" w:rsidRDefault="00332DCB">
      <w:pPr>
        <w:pBdr>
          <w:top w:val="nil"/>
          <w:left w:val="nil"/>
          <w:bottom w:val="nil"/>
          <w:right w:val="nil"/>
          <w:between w:val="nil"/>
        </w:pBdr>
        <w:rPr>
          <w:color w:val="000000"/>
          <w:sz w:val="18"/>
          <w:szCs w:val="18"/>
        </w:rPr>
      </w:pPr>
      <w:r>
        <w:rPr>
          <w:b/>
          <w:color w:val="000000"/>
          <w:sz w:val="18"/>
          <w:szCs w:val="18"/>
        </w:rPr>
        <w:t xml:space="preserve">Hinweis für Redaktionen: </w:t>
      </w:r>
      <w:r>
        <w:rPr>
          <w:color w:val="000000"/>
          <w:sz w:val="18"/>
          <w:szCs w:val="18"/>
        </w:rPr>
        <w:t>Sofern Pflichttexte angegeben werden, sind diese gesetzlich vorgeschrieben. Wir bitten um Berücksichtigung bzw. einen Hinweis wo diese zu finden sind.</w:t>
      </w:r>
    </w:p>
    <w:p w14:paraId="28DAB1B1" w14:textId="77777777" w:rsidR="0068443A" w:rsidRDefault="0068443A">
      <w:pPr>
        <w:pBdr>
          <w:top w:val="nil"/>
          <w:left w:val="nil"/>
          <w:bottom w:val="nil"/>
          <w:right w:val="nil"/>
          <w:between w:val="nil"/>
        </w:pBdr>
        <w:rPr>
          <w:color w:val="000000"/>
          <w:sz w:val="18"/>
          <w:szCs w:val="18"/>
        </w:rPr>
      </w:pPr>
    </w:p>
    <w:p w14:paraId="64D1B47A" w14:textId="0D2E9B3C" w:rsidR="0068443A" w:rsidRPr="00D029D5" w:rsidRDefault="00332DCB" w:rsidP="00D029D5">
      <w:pPr>
        <w:pBdr>
          <w:top w:val="nil"/>
          <w:left w:val="nil"/>
          <w:bottom w:val="nil"/>
          <w:right w:val="nil"/>
          <w:between w:val="nil"/>
        </w:pBdr>
        <w:rPr>
          <w:color w:val="000000"/>
          <w:sz w:val="18"/>
          <w:szCs w:val="18"/>
        </w:rPr>
      </w:pPr>
      <w:bookmarkStart w:id="2" w:name="_30j0zll" w:colFirst="0" w:colLast="0"/>
      <w:bookmarkEnd w:id="2"/>
      <w:r>
        <w:rPr>
          <w:b/>
          <w:color w:val="000000"/>
          <w:sz w:val="18"/>
          <w:szCs w:val="18"/>
        </w:rPr>
        <w:t>Über CP GABA GmbH</w:t>
      </w:r>
      <w:r>
        <w:rPr>
          <w:b/>
          <w:color w:val="000000"/>
          <w:sz w:val="18"/>
          <w:szCs w:val="18"/>
        </w:rPr>
        <w:br/>
      </w:r>
      <w:r>
        <w:rPr>
          <w:color w:val="262626"/>
          <w:sz w:val="18"/>
          <w:szCs w:val="18"/>
        </w:rPr>
        <w:t xml:space="preserve">Die CP GABA GmbH, mit Sitz in Hamburg, ist die deutsche Unternehmung des weltweiten Konsumgüterkonzerns Colgate-Palmolive. Das Unternehmen ist ein führender Anbieter von Mund- und Zahnpflegeprodukten mit dem Bestreben, die Mundgesundheit in Deutschland zu verbessern. Mit einem umfassenden Produktportfolio und Innovation sowie den führenden Marken </w:t>
      </w:r>
      <w:proofErr w:type="spellStart"/>
      <w:r>
        <w:rPr>
          <w:color w:val="262626"/>
          <w:sz w:val="18"/>
          <w:szCs w:val="18"/>
        </w:rPr>
        <w:t>elmex</w:t>
      </w:r>
      <w:proofErr w:type="spellEnd"/>
      <w:r>
        <w:rPr>
          <w:color w:val="262626"/>
          <w:sz w:val="18"/>
          <w:szCs w:val="18"/>
          <w:vertAlign w:val="superscript"/>
        </w:rPr>
        <w:t>®</w:t>
      </w:r>
      <w:r>
        <w:rPr>
          <w:color w:val="262626"/>
          <w:sz w:val="18"/>
          <w:szCs w:val="18"/>
        </w:rPr>
        <w:t xml:space="preserve">, </w:t>
      </w:r>
      <w:proofErr w:type="spellStart"/>
      <w:r>
        <w:rPr>
          <w:color w:val="262626"/>
          <w:sz w:val="18"/>
          <w:szCs w:val="18"/>
        </w:rPr>
        <w:t>meridol</w:t>
      </w:r>
      <w:proofErr w:type="spellEnd"/>
      <w:r>
        <w:rPr>
          <w:color w:val="262626"/>
          <w:sz w:val="18"/>
          <w:szCs w:val="18"/>
          <w:vertAlign w:val="superscript"/>
        </w:rPr>
        <w:t>®</w:t>
      </w:r>
      <w:r>
        <w:rPr>
          <w:color w:val="262626"/>
          <w:sz w:val="18"/>
          <w:szCs w:val="18"/>
        </w:rPr>
        <w:t>, Colgate</w:t>
      </w:r>
      <w:r>
        <w:rPr>
          <w:color w:val="262626"/>
          <w:sz w:val="18"/>
          <w:szCs w:val="18"/>
          <w:vertAlign w:val="superscript"/>
        </w:rPr>
        <w:t>®</w:t>
      </w:r>
      <w:r>
        <w:rPr>
          <w:color w:val="262626"/>
          <w:sz w:val="18"/>
          <w:szCs w:val="18"/>
        </w:rPr>
        <w:t xml:space="preserve"> und </w:t>
      </w:r>
      <w:proofErr w:type="spellStart"/>
      <w:r>
        <w:rPr>
          <w:color w:val="262626"/>
          <w:sz w:val="18"/>
          <w:szCs w:val="18"/>
        </w:rPr>
        <w:t>Duraphat</w:t>
      </w:r>
      <w:proofErr w:type="spellEnd"/>
      <w:r>
        <w:rPr>
          <w:color w:val="262626"/>
          <w:sz w:val="18"/>
          <w:szCs w:val="18"/>
          <w:vertAlign w:val="superscript"/>
        </w:rPr>
        <w:t>®</w:t>
      </w:r>
      <w:r>
        <w:rPr>
          <w:color w:val="262626"/>
          <w:sz w:val="18"/>
          <w:szCs w:val="18"/>
        </w:rPr>
        <w:t xml:space="preserve"> setzt CP GABA ihren erfolgreichen Kurs fort, der sich nicht zuletzt durch ein großes Engagement gegenüber der dentalen Profession und den Apotheken, der Öffentlichkeit und den Verbrauchern auszeichnet.</w:t>
      </w:r>
    </w:p>
    <w:p w14:paraId="5C059931" w14:textId="77777777" w:rsidR="0068443A" w:rsidRPr="00317905" w:rsidRDefault="0068443A">
      <w:pPr>
        <w:pBdr>
          <w:top w:val="nil"/>
          <w:left w:val="nil"/>
          <w:bottom w:val="nil"/>
          <w:right w:val="nil"/>
          <w:between w:val="nil"/>
        </w:pBdr>
        <w:rPr>
          <w:color w:val="262626" w:themeColor="text1" w:themeTint="D9"/>
        </w:rPr>
      </w:pPr>
    </w:p>
    <w:p w14:paraId="5DD2C3B7" w14:textId="77777777" w:rsidR="0068443A" w:rsidRPr="00317905" w:rsidRDefault="00332DCB">
      <w:pPr>
        <w:pBdr>
          <w:top w:val="nil"/>
          <w:left w:val="nil"/>
          <w:bottom w:val="nil"/>
          <w:right w:val="nil"/>
          <w:between w:val="nil"/>
        </w:pBdr>
        <w:rPr>
          <w:b/>
          <w:bCs/>
          <w:color w:val="262626" w:themeColor="text1" w:themeTint="D9"/>
          <w:sz w:val="18"/>
          <w:szCs w:val="18"/>
        </w:rPr>
      </w:pPr>
      <w:r w:rsidRPr="00317905">
        <w:rPr>
          <w:b/>
          <w:bCs/>
          <w:color w:val="262626" w:themeColor="text1" w:themeTint="D9"/>
          <w:sz w:val="18"/>
          <w:szCs w:val="18"/>
        </w:rPr>
        <w:t>Über die DG PARO</w:t>
      </w:r>
    </w:p>
    <w:p w14:paraId="79AB384A" w14:textId="77777777"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Die Deutsche Gesellschaft für Parodontologie e.V. (DG PARO) nimmt wissenschaftliche und</w:t>
      </w:r>
    </w:p>
    <w:p w14:paraId="389B75E8" w14:textId="77777777"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fachliche Aufgaben auf dem Gebiet der Zahn-, Mund- und Kieferheilkunde, insbesondere</w:t>
      </w:r>
    </w:p>
    <w:p w14:paraId="3F07050C" w14:textId="77777777"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der Parodontologie wahr. Für ihre fast 5.000 Mitglieder sowie zahnärztliche Organisationen</w:t>
      </w:r>
    </w:p>
    <w:p w14:paraId="0B5966F1" w14:textId="77777777"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ist sie seit über 90 Jahren beratend und unterstützend in parodontologischen Fragen tätig.</w:t>
      </w:r>
    </w:p>
    <w:p w14:paraId="7FCEED42" w14:textId="77777777"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Zu den Aufgaben der DG PARO gehört u.a. die Förderung der Forschung auf dem Gebiet</w:t>
      </w:r>
    </w:p>
    <w:p w14:paraId="407108A5" w14:textId="77777777"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der Parodontologie sowie die Auswertung, Verbreitung und Vertretung der</w:t>
      </w:r>
    </w:p>
    <w:p w14:paraId="4B656B98" w14:textId="77777777"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wissenschaftlichen Erkenntnisse. Wesentliche Tätigkeitsschwerpunkte neben der</w:t>
      </w:r>
    </w:p>
    <w:p w14:paraId="0CDD9544" w14:textId="77777777"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Durchführung von wissenschaftlichen Tagungen, sind die Fort- und Weiterbildung auf dem</w:t>
      </w:r>
    </w:p>
    <w:p w14:paraId="2BB40C86" w14:textId="77777777"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Gebiet der Parodontologie sowie die Ausrichtung entsprechender Veranstaltungen. Zudem</w:t>
      </w:r>
    </w:p>
    <w:p w14:paraId="08461D48" w14:textId="6BE013A4"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 xml:space="preserve">vergibt die Gesellschaft jährlich Wissenschaftspreise wie den </w:t>
      </w:r>
      <w:r w:rsidR="00285935" w:rsidRPr="00317905">
        <w:rPr>
          <w:color w:val="262626" w:themeColor="text1" w:themeTint="D9"/>
          <w:sz w:val="18"/>
          <w:szCs w:val="18"/>
        </w:rPr>
        <w:t>DG PARO-Forschungspreis</w:t>
      </w:r>
      <w:r w:rsidRPr="00317905">
        <w:rPr>
          <w:color w:val="262626" w:themeColor="text1" w:themeTint="D9"/>
          <w:sz w:val="18"/>
          <w:szCs w:val="18"/>
        </w:rPr>
        <w:t>. Die</w:t>
      </w:r>
      <w:r w:rsidR="004912D1" w:rsidRPr="00317905">
        <w:rPr>
          <w:color w:val="262626" w:themeColor="text1" w:themeTint="D9"/>
          <w:sz w:val="18"/>
          <w:szCs w:val="18"/>
        </w:rPr>
        <w:t xml:space="preserve"> </w:t>
      </w:r>
      <w:r w:rsidRPr="00317905">
        <w:rPr>
          <w:color w:val="262626" w:themeColor="text1" w:themeTint="D9"/>
          <w:sz w:val="18"/>
          <w:szCs w:val="18"/>
        </w:rPr>
        <w:t>DG PARO arbeitet, auch interdisziplinär, intensiv mit wissenschaftlichen Gesellschaften,</w:t>
      </w:r>
    </w:p>
    <w:p w14:paraId="04DDF960" w14:textId="77777777" w:rsidR="0068443A" w:rsidRPr="00317905" w:rsidRDefault="00332DCB">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Arbeitsgemeinschaften und Institutionen des In- und Auslandes zusammen. Sie verfolgt</w:t>
      </w:r>
    </w:p>
    <w:p w14:paraId="147DDC3F" w14:textId="0AB9DCC5" w:rsidR="002A5FB2" w:rsidRPr="002A5FB2" w:rsidRDefault="00332DCB" w:rsidP="002A5FB2">
      <w:pPr>
        <w:pBdr>
          <w:top w:val="nil"/>
          <w:left w:val="nil"/>
          <w:bottom w:val="nil"/>
          <w:right w:val="nil"/>
          <w:between w:val="nil"/>
        </w:pBdr>
        <w:rPr>
          <w:color w:val="262626" w:themeColor="text1" w:themeTint="D9"/>
          <w:sz w:val="18"/>
          <w:szCs w:val="18"/>
        </w:rPr>
      </w:pPr>
      <w:r w:rsidRPr="00317905">
        <w:rPr>
          <w:color w:val="262626" w:themeColor="text1" w:themeTint="D9"/>
          <w:sz w:val="18"/>
          <w:szCs w:val="18"/>
        </w:rPr>
        <w:t>ausschließlich und unmittelbar gemeinnützige Zwecke.</w:t>
      </w:r>
    </w:p>
    <w:sectPr w:rsidR="002A5FB2" w:rsidRPr="002A5FB2">
      <w:headerReference w:type="even" r:id="rId9"/>
      <w:headerReference w:type="default" r:id="rId10"/>
      <w:footerReference w:type="even" r:id="rId11"/>
      <w:footerReference w:type="default" r:id="rId12"/>
      <w:headerReference w:type="first" r:id="rId13"/>
      <w:footerReference w:type="first" r:id="rId14"/>
      <w:pgSz w:w="11906" w:h="16838"/>
      <w:pgMar w:top="1174" w:right="851" w:bottom="1702" w:left="3686" w:header="709" w:footer="8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74BB2" w14:textId="77777777" w:rsidR="00B54C89" w:rsidRDefault="00B54C89">
      <w:r>
        <w:separator/>
      </w:r>
    </w:p>
  </w:endnote>
  <w:endnote w:type="continuationSeparator" w:id="0">
    <w:p w14:paraId="5B34F3B6" w14:textId="77777777" w:rsidR="00B54C89" w:rsidRDefault="00B54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5DAC" w14:textId="77777777" w:rsidR="0068443A" w:rsidRDefault="0068443A">
    <w:pPr>
      <w:pBdr>
        <w:top w:val="nil"/>
        <w:left w:val="nil"/>
        <w:bottom w:val="nil"/>
        <w:right w:val="nil"/>
        <w:between w:val="nil"/>
      </w:pBdr>
      <w:rPr>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DFFD" w14:textId="77777777" w:rsidR="0068443A" w:rsidRDefault="00332DCB">
    <w:pPr>
      <w:pBdr>
        <w:top w:val="nil"/>
        <w:left w:val="nil"/>
        <w:bottom w:val="nil"/>
        <w:right w:val="nil"/>
        <w:between w:val="nil"/>
      </w:pBdr>
      <w:jc w:val="right"/>
      <w:rPr>
        <w:color w:val="000000"/>
        <w:sz w:val="18"/>
        <w:szCs w:val="18"/>
      </w:rPr>
    </w:pPr>
    <w:r>
      <w:rPr>
        <w:noProof/>
        <w:color w:val="000000"/>
        <w:sz w:val="18"/>
        <w:szCs w:val="18"/>
      </w:rPr>
      <mc:AlternateContent>
        <mc:Choice Requires="wps">
          <w:drawing>
            <wp:anchor distT="0" distB="0" distL="114300" distR="114300" simplePos="0" relativeHeight="251659264" behindDoc="0" locked="0" layoutInCell="1" allowOverlap="1" wp14:anchorId="5C826DF2" wp14:editId="12C0BF86">
              <wp:simplePos x="0" y="0"/>
              <wp:positionH relativeFrom="page">
                <wp:posOffset>546100</wp:posOffset>
              </wp:positionH>
              <wp:positionV relativeFrom="page">
                <wp:posOffset>7131685</wp:posOffset>
              </wp:positionV>
              <wp:extent cx="1763395" cy="2300605"/>
              <wp:effectExtent l="0" t="0" r="8255" b="4445"/>
              <wp:wrapNone/>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3395" cy="2300605"/>
                      </a:xfrm>
                      <a:prstGeom prst="rect">
                        <a:avLst/>
                      </a:prstGeom>
                      <a:noFill/>
                      <a:ln w="6350">
                        <a:noFill/>
                      </a:ln>
                      <a:effectLst/>
                    </wps:spPr>
                    <wps:txbx>
                      <w:txbxContent>
                        <w:p w14:paraId="07802CA8" w14:textId="77777777" w:rsidR="00332DCB" w:rsidRPr="00FE56C2" w:rsidRDefault="00332DCB" w:rsidP="00332DCB">
                          <w:pPr>
                            <w:pStyle w:val="Fuzeile"/>
                            <w:rPr>
                              <w:b/>
                            </w:rPr>
                          </w:pPr>
                          <w:r>
                            <w:rPr>
                              <w:b/>
                            </w:rPr>
                            <w:t>Unternehmenskontakt</w:t>
                          </w:r>
                        </w:p>
                        <w:p w14:paraId="5B3DEC9E" w14:textId="77777777" w:rsidR="00332DCB" w:rsidRPr="00BA094D" w:rsidRDefault="00332DCB" w:rsidP="00332DCB">
                          <w:pPr>
                            <w:pStyle w:val="Fuzeile"/>
                            <w:rPr>
                              <w:szCs w:val="18"/>
                            </w:rPr>
                          </w:pPr>
                          <w:r w:rsidRPr="00BA094D">
                            <w:rPr>
                              <w:szCs w:val="18"/>
                            </w:rPr>
                            <w:t>Dr.</w:t>
                          </w:r>
                          <w:r>
                            <w:rPr>
                              <w:szCs w:val="18"/>
                            </w:rPr>
                            <w:t xml:space="preserve"> Burkhard </w:t>
                          </w:r>
                          <w:proofErr w:type="spellStart"/>
                          <w:r>
                            <w:rPr>
                              <w:szCs w:val="18"/>
                            </w:rPr>
                            <w:t>Selent</w:t>
                          </w:r>
                          <w:proofErr w:type="spellEnd"/>
                        </w:p>
                        <w:p w14:paraId="71AB3D17" w14:textId="77777777" w:rsidR="00332DCB" w:rsidRPr="00D271B9" w:rsidRDefault="00332DCB" w:rsidP="00332DCB">
                          <w:pPr>
                            <w:pStyle w:val="Fuzeile"/>
                            <w:rPr>
                              <w:szCs w:val="18"/>
                            </w:rPr>
                          </w:pPr>
                          <w:r w:rsidRPr="00D271B9">
                            <w:rPr>
                              <w:szCs w:val="18"/>
                            </w:rPr>
                            <w:t xml:space="preserve">Colgate-Palmolive </w:t>
                          </w:r>
                        </w:p>
                        <w:p w14:paraId="51539770" w14:textId="77777777" w:rsidR="00332DCB" w:rsidRPr="007A3F5C" w:rsidRDefault="00332DCB" w:rsidP="00332DCB">
                          <w:pPr>
                            <w:pStyle w:val="Fuzeile"/>
                            <w:rPr>
                              <w:szCs w:val="18"/>
                              <w:lang w:val="en-US"/>
                            </w:rPr>
                          </w:pPr>
                          <w:r w:rsidRPr="007A3F5C">
                            <w:rPr>
                              <w:szCs w:val="18"/>
                              <w:lang w:val="en-US"/>
                            </w:rPr>
                            <w:t>Services CEW GmbH</w:t>
                          </w:r>
                        </w:p>
                        <w:p w14:paraId="0EE575BD" w14:textId="77777777" w:rsidR="00332DCB" w:rsidRPr="007A3F5C" w:rsidRDefault="00332DCB" w:rsidP="00332DCB">
                          <w:pPr>
                            <w:pStyle w:val="Fuzeile"/>
                            <w:rPr>
                              <w:b/>
                              <w:szCs w:val="18"/>
                              <w:lang w:val="en-US"/>
                            </w:rPr>
                          </w:pPr>
                          <w:r w:rsidRPr="007A3F5C">
                            <w:rPr>
                              <w:szCs w:val="18"/>
                              <w:lang w:val="en-US"/>
                            </w:rPr>
                            <w:t>www.cpgabaprofessional.de</w:t>
                          </w:r>
                          <w:r w:rsidRPr="007A3F5C">
                            <w:rPr>
                              <w:b/>
                              <w:szCs w:val="18"/>
                              <w:lang w:val="en-US"/>
                            </w:rPr>
                            <w:t xml:space="preserve"> </w:t>
                          </w:r>
                        </w:p>
                        <w:p w14:paraId="13E2832B" w14:textId="77777777" w:rsidR="00332DCB" w:rsidRPr="007A3F5C" w:rsidRDefault="00332DCB" w:rsidP="00332DCB">
                          <w:pPr>
                            <w:pStyle w:val="Fuzeile"/>
                            <w:rPr>
                              <w:b/>
                              <w:lang w:val="en-US"/>
                            </w:rPr>
                          </w:pPr>
                        </w:p>
                        <w:p w14:paraId="73CEC23D" w14:textId="77777777" w:rsidR="00332DCB" w:rsidRPr="00FE56C2" w:rsidRDefault="00332DCB" w:rsidP="00332DCB">
                          <w:pPr>
                            <w:pStyle w:val="Fuzeile"/>
                            <w:rPr>
                              <w:b/>
                            </w:rPr>
                          </w:pPr>
                          <w:r w:rsidRPr="00FE56C2">
                            <w:rPr>
                              <w:b/>
                            </w:rPr>
                            <w:t>Pressekontakt</w:t>
                          </w:r>
                        </w:p>
                        <w:p w14:paraId="5DFE9226" w14:textId="77777777" w:rsidR="00332DCB" w:rsidRPr="00D271B9" w:rsidRDefault="00332DCB" w:rsidP="00332DCB">
                          <w:pPr>
                            <w:pStyle w:val="Fuzeile"/>
                          </w:pPr>
                          <w:r w:rsidRPr="00D271B9">
                            <w:t>Erika Hettich</w:t>
                          </w:r>
                        </w:p>
                        <w:p w14:paraId="0A399C8A" w14:textId="77777777" w:rsidR="00332DCB" w:rsidRPr="000A00EA" w:rsidRDefault="00332DCB" w:rsidP="00332DCB">
                          <w:pPr>
                            <w:pStyle w:val="Fuzeile"/>
                          </w:pPr>
                          <w:r w:rsidRPr="000A00EA">
                            <w:t>Accente BizzComm GmbH</w:t>
                          </w:r>
                        </w:p>
                        <w:p w14:paraId="5F3720B7" w14:textId="77777777" w:rsidR="00332DCB" w:rsidRDefault="00332DCB" w:rsidP="00332DCB">
                          <w:pPr>
                            <w:pStyle w:val="Fuzeile"/>
                          </w:pPr>
                          <w:proofErr w:type="spellStart"/>
                          <w:r w:rsidRPr="000A00EA">
                            <w:t>Lortzing</w:t>
                          </w:r>
                          <w:r>
                            <w:t>str</w:t>
                          </w:r>
                          <w:proofErr w:type="spellEnd"/>
                          <w:r w:rsidRPr="000A00EA">
                            <w:t xml:space="preserve">. </w:t>
                          </w:r>
                          <w:r>
                            <w:t>1</w:t>
                          </w:r>
                        </w:p>
                        <w:p w14:paraId="60EEEA5D" w14:textId="77777777" w:rsidR="00332DCB" w:rsidRDefault="00332DCB" w:rsidP="00332DCB">
                          <w:pPr>
                            <w:pStyle w:val="Fuzeile"/>
                          </w:pPr>
                          <w:r>
                            <w:t>65189 Wiesbaden</w:t>
                          </w:r>
                        </w:p>
                        <w:p w14:paraId="48A1E27A" w14:textId="77777777" w:rsidR="00332DCB" w:rsidRDefault="00332DCB" w:rsidP="00332DCB">
                          <w:pPr>
                            <w:pStyle w:val="Fuzeile"/>
                          </w:pPr>
                          <w:r>
                            <w:t>Tel.: 0611 / 40 80 6-13</w:t>
                          </w:r>
                        </w:p>
                        <w:p w14:paraId="057A435B" w14:textId="77777777" w:rsidR="00332DCB" w:rsidRDefault="00332DCB" w:rsidP="00332DCB">
                          <w:pPr>
                            <w:pStyle w:val="Fuzeile"/>
                          </w:pPr>
                          <w:r>
                            <w:t>Fax: 0611 / 40 80 6-99</w:t>
                          </w:r>
                        </w:p>
                        <w:p w14:paraId="3E76B627" w14:textId="77777777" w:rsidR="00332DCB" w:rsidRDefault="00332DCB" w:rsidP="00332DCB">
                          <w:pPr>
                            <w:pStyle w:val="Fuzeile"/>
                          </w:pPr>
                          <w:r>
                            <w:t>erika.hettich@accente.de</w:t>
                          </w:r>
                        </w:p>
                        <w:p w14:paraId="6B36C391" w14:textId="77777777" w:rsidR="00332DCB" w:rsidRPr="008E72EB" w:rsidRDefault="00332DCB" w:rsidP="00332DCB">
                          <w:pPr>
                            <w:pStyle w:val="Fuzeile"/>
                            <w:rPr>
                              <w:lang w:val="en-US"/>
                            </w:rPr>
                          </w:pPr>
                          <w:r>
                            <w:t>www.accente.de</w:t>
                          </w:r>
                        </w:p>
                        <w:p w14:paraId="2EF983DE" w14:textId="77777777" w:rsidR="00332DCB" w:rsidRPr="008E72EB" w:rsidRDefault="00332DCB" w:rsidP="00332DCB">
                          <w:pPr>
                            <w:pStyle w:val="Fuzeile"/>
                            <w:rPr>
                              <w:lang w:val="en-US"/>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26DF2" id="_x0000_t202" coordsize="21600,21600" o:spt="202" path="m,l,21600r21600,l21600,xe">
              <v:stroke joinstyle="miter"/>
              <v:path gradientshapeok="t" o:connecttype="rect"/>
            </v:shapetype>
            <v:shape id="Textfeld 5" o:spid="_x0000_s1026" type="#_x0000_t202" style="position:absolute;left:0;text-align:left;margin-left:43pt;margin-top:561.55pt;width:138.85pt;height:18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" filled="f" stroked="f" strokeweight=".5pt">
              <v:textbox inset="0,0,0,0">
                <w:txbxContent>
                  <w:p w14:paraId="07802CA8" w14:textId="77777777" w:rsidR="00332DCB" w:rsidRPr="00FE56C2" w:rsidRDefault="00332DCB" w:rsidP="00332DCB">
                    <w:pPr>
                      <w:pStyle w:val="Fuzeile"/>
                      <w:rPr>
                        <w:b/>
                      </w:rPr>
                    </w:pPr>
                    <w:r>
                      <w:rPr>
                        <w:b/>
                      </w:rPr>
                      <w:t>Unternehmenskontakt</w:t>
                    </w:r>
                  </w:p>
                  <w:p w14:paraId="5B3DEC9E" w14:textId="77777777" w:rsidR="00332DCB" w:rsidRPr="00BA094D" w:rsidRDefault="00332DCB" w:rsidP="00332DCB">
                    <w:pPr>
                      <w:pStyle w:val="Fuzeile"/>
                      <w:rPr>
                        <w:szCs w:val="18"/>
                      </w:rPr>
                    </w:pPr>
                    <w:r w:rsidRPr="00BA094D">
                      <w:rPr>
                        <w:szCs w:val="18"/>
                      </w:rPr>
                      <w:t>Dr.</w:t>
                    </w:r>
                    <w:r>
                      <w:rPr>
                        <w:szCs w:val="18"/>
                      </w:rPr>
                      <w:t xml:space="preserve"> Burkhard </w:t>
                    </w:r>
                    <w:proofErr w:type="spellStart"/>
                    <w:r>
                      <w:rPr>
                        <w:szCs w:val="18"/>
                      </w:rPr>
                      <w:t>Selent</w:t>
                    </w:r>
                    <w:proofErr w:type="spellEnd"/>
                  </w:p>
                  <w:p w14:paraId="71AB3D17" w14:textId="77777777" w:rsidR="00332DCB" w:rsidRPr="00D271B9" w:rsidRDefault="00332DCB" w:rsidP="00332DCB">
                    <w:pPr>
                      <w:pStyle w:val="Fuzeile"/>
                      <w:rPr>
                        <w:szCs w:val="18"/>
                      </w:rPr>
                    </w:pPr>
                    <w:r w:rsidRPr="00D271B9">
                      <w:rPr>
                        <w:szCs w:val="18"/>
                      </w:rPr>
                      <w:t xml:space="preserve">Colgate-Palmolive </w:t>
                    </w:r>
                  </w:p>
                  <w:p w14:paraId="51539770" w14:textId="77777777" w:rsidR="00332DCB" w:rsidRPr="007A3F5C" w:rsidRDefault="00332DCB" w:rsidP="00332DCB">
                    <w:pPr>
                      <w:pStyle w:val="Fuzeile"/>
                      <w:rPr>
                        <w:szCs w:val="18"/>
                        <w:lang w:val="en-US"/>
                      </w:rPr>
                    </w:pPr>
                    <w:r w:rsidRPr="007A3F5C">
                      <w:rPr>
                        <w:szCs w:val="18"/>
                        <w:lang w:val="en-US"/>
                      </w:rPr>
                      <w:t>Services CEW GmbH</w:t>
                    </w:r>
                  </w:p>
                  <w:p w14:paraId="0EE575BD" w14:textId="77777777" w:rsidR="00332DCB" w:rsidRPr="007A3F5C" w:rsidRDefault="00332DCB" w:rsidP="00332DCB">
                    <w:pPr>
                      <w:pStyle w:val="Fuzeile"/>
                      <w:rPr>
                        <w:b/>
                        <w:szCs w:val="18"/>
                        <w:lang w:val="en-US"/>
                      </w:rPr>
                    </w:pPr>
                    <w:r w:rsidRPr="007A3F5C">
                      <w:rPr>
                        <w:szCs w:val="18"/>
                        <w:lang w:val="en-US"/>
                      </w:rPr>
                      <w:t>www.cpgabaprofessional.de</w:t>
                    </w:r>
                    <w:r w:rsidRPr="007A3F5C">
                      <w:rPr>
                        <w:b/>
                        <w:szCs w:val="18"/>
                        <w:lang w:val="en-US"/>
                      </w:rPr>
                      <w:t xml:space="preserve"> </w:t>
                    </w:r>
                  </w:p>
                  <w:p w14:paraId="13E2832B" w14:textId="77777777" w:rsidR="00332DCB" w:rsidRPr="007A3F5C" w:rsidRDefault="00332DCB" w:rsidP="00332DCB">
                    <w:pPr>
                      <w:pStyle w:val="Fuzeile"/>
                      <w:rPr>
                        <w:b/>
                        <w:lang w:val="en-US"/>
                      </w:rPr>
                    </w:pPr>
                  </w:p>
                  <w:p w14:paraId="73CEC23D" w14:textId="77777777" w:rsidR="00332DCB" w:rsidRPr="00FE56C2" w:rsidRDefault="00332DCB" w:rsidP="00332DCB">
                    <w:pPr>
                      <w:pStyle w:val="Fuzeile"/>
                      <w:rPr>
                        <w:b/>
                      </w:rPr>
                    </w:pPr>
                    <w:r w:rsidRPr="00FE56C2">
                      <w:rPr>
                        <w:b/>
                      </w:rPr>
                      <w:t>Pressekontakt</w:t>
                    </w:r>
                  </w:p>
                  <w:p w14:paraId="5DFE9226" w14:textId="77777777" w:rsidR="00332DCB" w:rsidRPr="00D271B9" w:rsidRDefault="00332DCB" w:rsidP="00332DCB">
                    <w:pPr>
                      <w:pStyle w:val="Fuzeile"/>
                    </w:pPr>
                    <w:r w:rsidRPr="00D271B9">
                      <w:t>Erika Hettich</w:t>
                    </w:r>
                  </w:p>
                  <w:p w14:paraId="0A399C8A" w14:textId="77777777" w:rsidR="00332DCB" w:rsidRPr="000A00EA" w:rsidRDefault="00332DCB" w:rsidP="00332DCB">
                    <w:pPr>
                      <w:pStyle w:val="Fuzeile"/>
                    </w:pPr>
                    <w:r w:rsidRPr="000A00EA">
                      <w:t>Accente BizzComm GmbH</w:t>
                    </w:r>
                  </w:p>
                  <w:p w14:paraId="5F3720B7" w14:textId="77777777" w:rsidR="00332DCB" w:rsidRDefault="00332DCB" w:rsidP="00332DCB">
                    <w:pPr>
                      <w:pStyle w:val="Fuzeile"/>
                    </w:pPr>
                    <w:proofErr w:type="spellStart"/>
                    <w:r w:rsidRPr="000A00EA">
                      <w:t>Lortzing</w:t>
                    </w:r>
                    <w:r>
                      <w:t>str</w:t>
                    </w:r>
                    <w:proofErr w:type="spellEnd"/>
                    <w:r w:rsidRPr="000A00EA">
                      <w:t xml:space="preserve">. </w:t>
                    </w:r>
                    <w:r>
                      <w:t>1</w:t>
                    </w:r>
                  </w:p>
                  <w:p w14:paraId="60EEEA5D" w14:textId="77777777" w:rsidR="00332DCB" w:rsidRDefault="00332DCB" w:rsidP="00332DCB">
                    <w:pPr>
                      <w:pStyle w:val="Fuzeile"/>
                    </w:pPr>
                    <w:r>
                      <w:t>65189 Wiesbaden</w:t>
                    </w:r>
                  </w:p>
                  <w:p w14:paraId="48A1E27A" w14:textId="77777777" w:rsidR="00332DCB" w:rsidRDefault="00332DCB" w:rsidP="00332DCB">
                    <w:pPr>
                      <w:pStyle w:val="Fuzeile"/>
                    </w:pPr>
                    <w:r>
                      <w:t>Tel.: 0611 / 40 80 6-13</w:t>
                    </w:r>
                  </w:p>
                  <w:p w14:paraId="057A435B" w14:textId="77777777" w:rsidR="00332DCB" w:rsidRDefault="00332DCB" w:rsidP="00332DCB">
                    <w:pPr>
                      <w:pStyle w:val="Fuzeile"/>
                    </w:pPr>
                    <w:r>
                      <w:t>Fax: 0611 / 40 80 6-99</w:t>
                    </w:r>
                  </w:p>
                  <w:p w14:paraId="3E76B627" w14:textId="77777777" w:rsidR="00332DCB" w:rsidRDefault="00332DCB" w:rsidP="00332DCB">
                    <w:pPr>
                      <w:pStyle w:val="Fuzeile"/>
                    </w:pPr>
                    <w:r>
                      <w:t>erika.hettich@accente.de</w:t>
                    </w:r>
                  </w:p>
                  <w:p w14:paraId="6B36C391" w14:textId="77777777" w:rsidR="00332DCB" w:rsidRPr="008E72EB" w:rsidRDefault="00332DCB" w:rsidP="00332DCB">
                    <w:pPr>
                      <w:pStyle w:val="Fuzeile"/>
                      <w:rPr>
                        <w:lang w:val="en-US"/>
                      </w:rPr>
                    </w:pPr>
                    <w:r>
                      <w:t>www.accente.de</w:t>
                    </w:r>
                  </w:p>
                  <w:p w14:paraId="2EF983DE" w14:textId="77777777" w:rsidR="00332DCB" w:rsidRPr="008E72EB" w:rsidRDefault="00332DCB" w:rsidP="00332DCB">
                    <w:pPr>
                      <w:pStyle w:val="Fuzeile"/>
                      <w:rPr>
                        <w:lang w:val="en-US"/>
                      </w:rPr>
                    </w:pPr>
                  </w:p>
                </w:txbxContent>
              </v:textbox>
              <w10:wrap anchorx="page" anchory="page"/>
            </v:shape>
          </w:pict>
        </mc:Fallback>
      </mc:AlternateContent>
    </w:r>
    <w:r>
      <w:rPr>
        <w:color w:val="000000"/>
        <w:sz w:val="18"/>
        <w:szCs w:val="18"/>
      </w:rPr>
      <w:t xml:space="preserve">Seite </w:t>
    </w:r>
    <w:r>
      <w:rPr>
        <w:color w:val="000000"/>
        <w:sz w:val="18"/>
        <w:szCs w:val="18"/>
      </w:rPr>
      <w:fldChar w:fldCharType="begin"/>
    </w:r>
    <w:r>
      <w:rPr>
        <w:color w:val="000000"/>
        <w:sz w:val="18"/>
        <w:szCs w:val="18"/>
      </w:rPr>
      <w:instrText>PAGE</w:instrText>
    </w:r>
    <w:r>
      <w:rPr>
        <w:color w:val="000000"/>
        <w:sz w:val="18"/>
        <w:szCs w:val="18"/>
      </w:rPr>
      <w:fldChar w:fldCharType="separate"/>
    </w:r>
    <w:r w:rsidR="00B27740">
      <w:rPr>
        <w:noProof/>
        <w:color w:val="000000"/>
        <w:sz w:val="18"/>
        <w:szCs w:val="18"/>
      </w:rPr>
      <w:t>1</w:t>
    </w:r>
    <w:r>
      <w:rPr>
        <w:color w:val="000000"/>
        <w:sz w:val="18"/>
        <w:szCs w:val="18"/>
      </w:rPr>
      <w:fldChar w:fldCharType="end"/>
    </w:r>
    <w:r>
      <w:rPr>
        <w:color w:val="000000"/>
        <w:sz w:val="18"/>
        <w:szCs w:val="18"/>
      </w:rPr>
      <w:t xml:space="preserve"> von </w:t>
    </w:r>
    <w:r>
      <w:rPr>
        <w:color w:val="000000"/>
        <w:sz w:val="18"/>
        <w:szCs w:val="18"/>
      </w:rPr>
      <w:fldChar w:fldCharType="begin"/>
    </w:r>
    <w:r>
      <w:rPr>
        <w:color w:val="000000"/>
        <w:sz w:val="18"/>
        <w:szCs w:val="18"/>
      </w:rPr>
      <w:instrText>NUMPAGES</w:instrText>
    </w:r>
    <w:r>
      <w:rPr>
        <w:color w:val="000000"/>
        <w:sz w:val="18"/>
        <w:szCs w:val="18"/>
      </w:rPr>
      <w:fldChar w:fldCharType="separate"/>
    </w:r>
    <w:r w:rsidR="00B27740">
      <w:rPr>
        <w:noProof/>
        <w:color w:val="000000"/>
        <w:sz w:val="18"/>
        <w:szCs w:val="18"/>
      </w:rPr>
      <w:t>2</w:t>
    </w:r>
    <w:r>
      <w:rPr>
        <w:color w:val="00000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1E633" w14:textId="77777777" w:rsidR="0068443A" w:rsidRDefault="0068443A">
    <w:pPr>
      <w:pBdr>
        <w:top w:val="nil"/>
        <w:left w:val="nil"/>
        <w:bottom w:val="nil"/>
        <w:right w:val="nil"/>
        <w:between w:val="nil"/>
      </w:pBdr>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2922" w14:textId="77777777" w:rsidR="00B54C89" w:rsidRDefault="00B54C89">
      <w:r>
        <w:separator/>
      </w:r>
    </w:p>
  </w:footnote>
  <w:footnote w:type="continuationSeparator" w:id="0">
    <w:p w14:paraId="23D880C8" w14:textId="77777777" w:rsidR="00B54C89" w:rsidRDefault="00B54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7C68" w14:textId="77777777" w:rsidR="0068443A" w:rsidRDefault="0068443A">
    <w:pPr>
      <w:pBdr>
        <w:top w:val="nil"/>
        <w:left w:val="nil"/>
        <w:bottom w:val="nil"/>
        <w:right w:val="nil"/>
        <w:between w:val="nil"/>
      </w:pBdr>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28DE" w14:textId="77777777" w:rsidR="0068443A" w:rsidRDefault="00332DCB">
    <w:pPr>
      <w:pBdr>
        <w:top w:val="nil"/>
        <w:left w:val="nil"/>
        <w:bottom w:val="nil"/>
        <w:right w:val="nil"/>
        <w:between w:val="nil"/>
      </w:pBdr>
      <w:rPr>
        <w:color w:val="000000"/>
        <w:sz w:val="22"/>
        <w:szCs w:val="22"/>
      </w:rPr>
    </w:pPr>
    <w:r>
      <w:rPr>
        <w:noProof/>
        <w:color w:val="000000"/>
        <w:sz w:val="22"/>
        <w:szCs w:val="22"/>
      </w:rPr>
      <w:drawing>
        <wp:anchor distT="0" distB="0" distL="0" distR="0" simplePos="0" relativeHeight="251658240" behindDoc="0" locked="0" layoutInCell="1" hidden="0" allowOverlap="1" wp14:anchorId="37464722" wp14:editId="1E23BFD1">
          <wp:simplePos x="0" y="0"/>
          <wp:positionH relativeFrom="page">
            <wp:posOffset>0</wp:posOffset>
          </wp:positionH>
          <wp:positionV relativeFrom="page">
            <wp:posOffset>0</wp:posOffset>
          </wp:positionV>
          <wp:extent cx="7560310" cy="12636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310" cy="126365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7A899" w14:textId="77777777" w:rsidR="0068443A" w:rsidRDefault="0068443A">
    <w:pPr>
      <w:pBdr>
        <w:top w:val="nil"/>
        <w:left w:val="nil"/>
        <w:bottom w:val="nil"/>
        <w:right w:val="nil"/>
        <w:between w:val="nil"/>
      </w:pBdr>
      <w:rPr>
        <w:color w:val="000000"/>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43A"/>
    <w:rsid w:val="00050921"/>
    <w:rsid w:val="0006663A"/>
    <w:rsid w:val="001A19AD"/>
    <w:rsid w:val="001B5BEF"/>
    <w:rsid w:val="00267305"/>
    <w:rsid w:val="00285935"/>
    <w:rsid w:val="002A5FB2"/>
    <w:rsid w:val="002B3A78"/>
    <w:rsid w:val="00317905"/>
    <w:rsid w:val="00332DCB"/>
    <w:rsid w:val="004304FD"/>
    <w:rsid w:val="004912D1"/>
    <w:rsid w:val="00493D8C"/>
    <w:rsid w:val="00544A76"/>
    <w:rsid w:val="005827B8"/>
    <w:rsid w:val="00647C24"/>
    <w:rsid w:val="00650AA5"/>
    <w:rsid w:val="00677397"/>
    <w:rsid w:val="0068443A"/>
    <w:rsid w:val="006A1F86"/>
    <w:rsid w:val="006C7F08"/>
    <w:rsid w:val="007611B9"/>
    <w:rsid w:val="008F1BD9"/>
    <w:rsid w:val="009979BE"/>
    <w:rsid w:val="009B75C8"/>
    <w:rsid w:val="009E40DE"/>
    <w:rsid w:val="00A258CF"/>
    <w:rsid w:val="00A613E9"/>
    <w:rsid w:val="00B27740"/>
    <w:rsid w:val="00B54C89"/>
    <w:rsid w:val="00BB3832"/>
    <w:rsid w:val="00BD0084"/>
    <w:rsid w:val="00C96101"/>
    <w:rsid w:val="00CA4721"/>
    <w:rsid w:val="00CD7656"/>
    <w:rsid w:val="00D029D5"/>
    <w:rsid w:val="00DB6461"/>
    <w:rsid w:val="00E742B6"/>
    <w:rsid w:val="00E827D8"/>
    <w:rsid w:val="00E9777E"/>
    <w:rsid w:val="00FC31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E89C63"/>
  <w15:docId w15:val="{53F58CC0-BDD2-413B-A8D4-700654F8D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B3832"/>
    <w:rPr>
      <w:b/>
      <w:bCs/>
    </w:rPr>
  </w:style>
  <w:style w:type="character" w:customStyle="1" w:styleId="KommentarthemaZchn">
    <w:name w:val="Kommentarthema Zchn"/>
    <w:basedOn w:val="KommentartextZchn"/>
    <w:link w:val="Kommentarthema"/>
    <w:uiPriority w:val="99"/>
    <w:semiHidden/>
    <w:rsid w:val="00BB3832"/>
    <w:rPr>
      <w:b/>
      <w:bCs/>
    </w:rPr>
  </w:style>
  <w:style w:type="paragraph" w:styleId="Fuzeile">
    <w:name w:val="footer"/>
    <w:basedOn w:val="Standard"/>
    <w:link w:val="FuzeileZchn"/>
    <w:uiPriority w:val="99"/>
    <w:unhideWhenUsed/>
    <w:rsid w:val="00332DCB"/>
    <w:pPr>
      <w:tabs>
        <w:tab w:val="center" w:pos="4536"/>
        <w:tab w:val="right" w:pos="9072"/>
      </w:tabs>
      <w:spacing w:line="216" w:lineRule="atLeast"/>
    </w:pPr>
    <w:rPr>
      <w:rFonts w:cs="Times New Roman"/>
      <w:sz w:val="18"/>
      <w:szCs w:val="22"/>
      <w:lang w:eastAsia="en-US"/>
    </w:rPr>
  </w:style>
  <w:style w:type="character" w:customStyle="1" w:styleId="FuzeileZchn">
    <w:name w:val="Fußzeile Zchn"/>
    <w:basedOn w:val="Absatz-Standardschriftart"/>
    <w:link w:val="Fuzeile"/>
    <w:uiPriority w:val="99"/>
    <w:rsid w:val="00332DCB"/>
    <w:rPr>
      <w:rFonts w:cs="Times New Roman"/>
      <w:sz w:val="18"/>
      <w:szCs w:val="22"/>
      <w:lang w:eastAsia="en-US"/>
    </w:rPr>
  </w:style>
  <w:style w:type="paragraph" w:styleId="Sprechblasentext">
    <w:name w:val="Balloon Text"/>
    <w:basedOn w:val="Standard"/>
    <w:link w:val="SprechblasentextZchn"/>
    <w:uiPriority w:val="99"/>
    <w:semiHidden/>
    <w:unhideWhenUsed/>
    <w:rsid w:val="00CD765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7656"/>
    <w:rPr>
      <w:rFonts w:ascii="Segoe UI" w:hAnsi="Segoe UI" w:cs="Segoe UI"/>
      <w:sz w:val="18"/>
      <w:szCs w:val="18"/>
    </w:rPr>
  </w:style>
  <w:style w:type="paragraph" w:styleId="berarbeitung">
    <w:name w:val="Revision"/>
    <w:hidden/>
    <w:uiPriority w:val="99"/>
    <w:semiHidden/>
    <w:rsid w:val="00E742B6"/>
  </w:style>
  <w:style w:type="character" w:styleId="Hyperlink">
    <w:name w:val="Hyperlink"/>
    <w:basedOn w:val="Absatz-Standardschriftart"/>
    <w:uiPriority w:val="99"/>
    <w:unhideWhenUsed/>
    <w:rsid w:val="006A1F86"/>
    <w:rPr>
      <w:color w:val="0000FF" w:themeColor="hyperlink"/>
      <w:u w:val="single"/>
    </w:rPr>
  </w:style>
  <w:style w:type="character" w:styleId="NichtaufgelsteErwhnung">
    <w:name w:val="Unresolved Mention"/>
    <w:basedOn w:val="Absatz-Standardschriftart"/>
    <w:uiPriority w:val="99"/>
    <w:semiHidden/>
    <w:unhideWhenUsed/>
    <w:rsid w:val="006A1F86"/>
    <w:rPr>
      <w:color w:val="605E5C"/>
      <w:shd w:val="clear" w:color="auto" w:fill="E1DFDD"/>
    </w:rPr>
  </w:style>
  <w:style w:type="character" w:styleId="BesuchterLink">
    <w:name w:val="FollowedHyperlink"/>
    <w:basedOn w:val="Absatz-Standardschriftart"/>
    <w:uiPriority w:val="99"/>
    <w:semiHidden/>
    <w:unhideWhenUsed/>
    <w:rsid w:val="006A1F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ccente.de/downloadbereich/neuer_paroratgeber_schwangerschaf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bit.ly/2S4jUOY"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5972</Characters>
  <Application>Microsoft Office Word</Application>
  <DocSecurity>0</DocSecurity>
  <Lines>129</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Hettich</dc:creator>
  <cp:lastModifiedBy>Erika Hettich</cp:lastModifiedBy>
  <cp:revision>5</cp:revision>
  <dcterms:created xsi:type="dcterms:W3CDTF">2021-06-22T11:29:00Z</dcterms:created>
  <dcterms:modified xsi:type="dcterms:W3CDTF">2021-06-22T11:47:00Z</dcterms:modified>
</cp:coreProperties>
</file>