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CAB2C" w14:textId="77777777" w:rsidR="00A336A2" w:rsidRDefault="005F7FD7">
      <w:pPr>
        <w:pStyle w:val="Titel"/>
      </w:pPr>
      <w:r>
        <w:t>Presseinformation</w:t>
      </w:r>
    </w:p>
    <w:p w14:paraId="74DF9338" w14:textId="1F55852E" w:rsidR="00A336A2" w:rsidRDefault="004E5820">
      <w:r>
        <w:t>Hamburg / Oktober</w:t>
      </w:r>
      <w:r w:rsidR="005F7FD7">
        <w:t xml:space="preserve"> / 2017</w:t>
      </w:r>
    </w:p>
    <w:p w14:paraId="401FBC30" w14:textId="77777777" w:rsidR="00A336A2" w:rsidRDefault="00A336A2">
      <w:pPr>
        <w:pStyle w:val="berschrift1"/>
      </w:pPr>
    </w:p>
    <w:p w14:paraId="1C834632" w14:textId="25DA940A" w:rsidR="00965D55" w:rsidRDefault="008B6081" w:rsidP="00965D55">
      <w:pPr>
        <w:rPr>
          <w:sz w:val="36"/>
          <w:szCs w:val="36"/>
        </w:rPr>
      </w:pPr>
      <w:r>
        <w:rPr>
          <w:b/>
          <w:sz w:val="36"/>
          <w:szCs w:val="36"/>
        </w:rPr>
        <w:t>DG PARO meridol</w:t>
      </w:r>
      <w:r w:rsidRPr="008B6081">
        <w:rPr>
          <w:b/>
          <w:sz w:val="36"/>
          <w:szCs w:val="36"/>
          <w:vertAlign w:val="superscript"/>
        </w:rPr>
        <w:t>®</w:t>
      </w:r>
      <w:r>
        <w:rPr>
          <w:b/>
          <w:sz w:val="36"/>
          <w:szCs w:val="36"/>
        </w:rPr>
        <w:t>-Preis</w:t>
      </w:r>
    </w:p>
    <w:p w14:paraId="7328ADF3" w14:textId="77777777" w:rsidR="00A336A2" w:rsidRDefault="00A336A2">
      <w:pPr>
        <w:spacing w:line="276" w:lineRule="auto"/>
        <w:rPr>
          <w:b/>
        </w:rPr>
      </w:pPr>
    </w:p>
    <w:p w14:paraId="7AA62F8C" w14:textId="056CF278" w:rsidR="00965D55" w:rsidRDefault="008B6081" w:rsidP="00965D55">
      <w:pPr>
        <w:rPr>
          <w:b/>
        </w:rPr>
      </w:pPr>
      <w:r>
        <w:rPr>
          <w:b/>
        </w:rPr>
        <w:t>Übersicht der Preisträger 2017 und ihrer Projekte</w:t>
      </w:r>
    </w:p>
    <w:p w14:paraId="547AF9D5" w14:textId="77777777" w:rsidR="00F60907" w:rsidRPr="00F60907" w:rsidRDefault="00F60907" w:rsidP="00F60907">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b/>
          <w:color w:val="auto"/>
          <w:lang w:eastAsia="en-US"/>
        </w:rPr>
      </w:pPr>
    </w:p>
    <w:p w14:paraId="31021918" w14:textId="16F0B010" w:rsidR="00503F36" w:rsidRDefault="00503F36" w:rsidP="00965D55"/>
    <w:p w14:paraId="388973DA" w14:textId="631553CE" w:rsidR="00503F36" w:rsidRDefault="008B6081" w:rsidP="00965D55">
      <w:pPr>
        <w:rPr>
          <w:b/>
        </w:rPr>
      </w:pPr>
      <w:r>
        <w:rPr>
          <w:b/>
        </w:rPr>
        <w:t>Kategorie „Grundlagenforschung“</w:t>
      </w:r>
    </w:p>
    <w:p w14:paraId="443CE871" w14:textId="77777777" w:rsidR="008B6081" w:rsidRDefault="008B6081" w:rsidP="00965D55">
      <w:pPr>
        <w:rPr>
          <w:b/>
        </w:rPr>
      </w:pPr>
    </w:p>
    <w:p w14:paraId="0C2E4CA3" w14:textId="5FADB3D9" w:rsidR="00503F36" w:rsidRDefault="008B6081" w:rsidP="00965D55">
      <w:pPr>
        <w:rPr>
          <w:b/>
        </w:rPr>
      </w:pPr>
      <w:r w:rsidRPr="00CE78A7">
        <w:rPr>
          <w:b/>
        </w:rPr>
        <w:t>1. Preis</w:t>
      </w:r>
    </w:p>
    <w:p w14:paraId="10B80939" w14:textId="77777777" w:rsidR="00CE78A7" w:rsidRPr="00CE78A7" w:rsidRDefault="00CE78A7" w:rsidP="00965D55">
      <w:pPr>
        <w:rPr>
          <w:b/>
        </w:rPr>
      </w:pPr>
    </w:p>
    <w:p w14:paraId="57802CCF" w14:textId="2767D1D6" w:rsidR="00991CFE" w:rsidRDefault="00991CFE" w:rsidP="00991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991CFE">
        <w:t>Dr. rer. nat. Tatjana Natascha Hoppe</w:t>
      </w:r>
      <w:r w:rsidR="007F6377">
        <w:t>:</w:t>
      </w:r>
    </w:p>
    <w:p w14:paraId="3E8C4CB7" w14:textId="77777777" w:rsidR="007F6377" w:rsidRPr="00991CFE" w:rsidRDefault="007F6377" w:rsidP="00991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26143659" w14:textId="3C339722" w:rsidR="00991CFE" w:rsidRPr="007F6377" w:rsidRDefault="00991CFE" w:rsidP="00991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i/>
          <w:lang w:val="en-US"/>
        </w:rPr>
      </w:pPr>
      <w:r w:rsidRPr="007F6377">
        <w:rPr>
          <w:i/>
          <w:lang w:val="en-US"/>
        </w:rPr>
        <w:t>„Oral pathogens change proliferation properties of oral tumor cells by   a</w:t>
      </w:r>
      <w:r w:rsidRPr="007F6377">
        <w:rPr>
          <w:rFonts w:ascii="Cambria Math" w:hAnsi="Cambria Math" w:cs="Cambria Math"/>
          <w:i/>
        </w:rPr>
        <w:t>ﬀ</w:t>
      </w:r>
      <w:r w:rsidRPr="007F6377">
        <w:rPr>
          <w:i/>
          <w:lang w:val="en-US"/>
        </w:rPr>
        <w:t>ecting gene expression of human defensins.”</w:t>
      </w:r>
    </w:p>
    <w:p w14:paraId="54E9D1E9" w14:textId="77777777" w:rsidR="007F6377" w:rsidRPr="00991CFE" w:rsidRDefault="007F6377" w:rsidP="00991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lang w:val="en-US"/>
        </w:rPr>
      </w:pPr>
    </w:p>
    <w:p w14:paraId="70D55247" w14:textId="268CDC66" w:rsidR="00991CFE" w:rsidRPr="00991CFE" w:rsidRDefault="00991CFE" w:rsidP="00991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 w:rsidRPr="00991CFE">
        <w:t xml:space="preserve">(T. </w:t>
      </w:r>
      <w:r>
        <w:t xml:space="preserve">Hoppe &amp; D. Kraus &amp; N. Novak &amp; </w:t>
      </w:r>
      <w:r w:rsidRPr="00991CFE">
        <w:t xml:space="preserve">R. </w:t>
      </w:r>
      <w:r>
        <w:t xml:space="preserve">Probstmeier &amp; M. Frentzen &amp;   </w:t>
      </w:r>
      <w:r w:rsidRPr="00991CFE">
        <w:t>M.</w:t>
      </w:r>
      <w:r>
        <w:t xml:space="preserve"> Wenghoefer &amp; S. Jepsen, J.</w:t>
      </w:r>
      <w:r w:rsidRPr="00991CFE">
        <w:t xml:space="preserve"> Winter)</w:t>
      </w:r>
    </w:p>
    <w:p w14:paraId="339469DB" w14:textId="77777777" w:rsidR="008B6081" w:rsidRDefault="008B6081" w:rsidP="00965D55"/>
    <w:p w14:paraId="25D97C00" w14:textId="22E0A057" w:rsidR="008B6081" w:rsidRDefault="008B6081" w:rsidP="00965D55">
      <w:pPr>
        <w:rPr>
          <w:b/>
        </w:rPr>
      </w:pPr>
      <w:r w:rsidRPr="00CE78A7">
        <w:rPr>
          <w:b/>
        </w:rPr>
        <w:t>2. Preis</w:t>
      </w:r>
    </w:p>
    <w:p w14:paraId="7F468DF8" w14:textId="77777777" w:rsidR="00CE78A7" w:rsidRPr="00CE78A7" w:rsidRDefault="00CE78A7" w:rsidP="00965D55">
      <w:pPr>
        <w:rPr>
          <w:b/>
        </w:rPr>
      </w:pPr>
    </w:p>
    <w:p w14:paraId="2FC82377" w14:textId="2640A8C2" w:rsidR="00991CFE" w:rsidRDefault="00991CFE" w:rsidP="00991CFE">
      <w:r>
        <w:t>T.G. Kebede, Dr. Birte Holtfreter:</w:t>
      </w:r>
    </w:p>
    <w:p w14:paraId="2926C950" w14:textId="77777777" w:rsidR="007F6377" w:rsidRDefault="007F6377" w:rsidP="00991CFE"/>
    <w:p w14:paraId="2C055151" w14:textId="1207074D" w:rsidR="00991CFE" w:rsidRPr="007F6377" w:rsidRDefault="00991CFE" w:rsidP="00991CFE">
      <w:pPr>
        <w:rPr>
          <w:i/>
          <w:lang w:val="en-US"/>
        </w:rPr>
      </w:pPr>
      <w:r w:rsidRPr="007F6377">
        <w:rPr>
          <w:i/>
          <w:lang w:val="en-US"/>
        </w:rPr>
        <w:t xml:space="preserve">„Association of </w:t>
      </w:r>
      <w:r w:rsidR="007F6377" w:rsidRPr="007F6377">
        <w:rPr>
          <w:i/>
          <w:lang w:val="en-US"/>
        </w:rPr>
        <w:t>p</w:t>
      </w:r>
      <w:r w:rsidRPr="007F6377">
        <w:rPr>
          <w:i/>
          <w:lang w:val="en-US"/>
        </w:rPr>
        <w:t xml:space="preserve">eriodontal </w:t>
      </w:r>
      <w:r w:rsidR="007F6377" w:rsidRPr="007F6377">
        <w:rPr>
          <w:i/>
          <w:lang w:val="en-US"/>
        </w:rPr>
        <w:t>d</w:t>
      </w:r>
      <w:r w:rsidRPr="007F6377">
        <w:rPr>
          <w:i/>
          <w:lang w:val="en-US"/>
        </w:rPr>
        <w:t xml:space="preserve">estruction and </w:t>
      </w:r>
      <w:r w:rsidR="007F6377" w:rsidRPr="007F6377">
        <w:rPr>
          <w:i/>
          <w:lang w:val="en-US"/>
        </w:rPr>
        <w:t>d</w:t>
      </w:r>
      <w:r w:rsidRPr="007F6377">
        <w:rPr>
          <w:i/>
          <w:lang w:val="en-US"/>
        </w:rPr>
        <w:t xml:space="preserve">iabetes with </w:t>
      </w:r>
      <w:r w:rsidR="007F6377" w:rsidRPr="007F6377">
        <w:rPr>
          <w:i/>
          <w:lang w:val="en-US"/>
        </w:rPr>
        <w:t>m</w:t>
      </w:r>
      <w:r w:rsidRPr="007F6377">
        <w:rPr>
          <w:i/>
          <w:lang w:val="en-US"/>
        </w:rPr>
        <w:t>ortality.”</w:t>
      </w:r>
    </w:p>
    <w:p w14:paraId="5005CA98" w14:textId="77777777" w:rsidR="007F6377" w:rsidRPr="00991CFE" w:rsidRDefault="007F6377" w:rsidP="00991CFE">
      <w:pPr>
        <w:rPr>
          <w:lang w:val="en-US"/>
        </w:rPr>
      </w:pPr>
    </w:p>
    <w:p w14:paraId="5DBECC75" w14:textId="77777777" w:rsidR="00991CFE" w:rsidRDefault="00991CFE" w:rsidP="00991CFE">
      <w:r>
        <w:t>(T.G. Kebede, B. Holtfreter, T. Kocher, P. Meisel, T. Dietrich, R. Bi</w:t>
      </w:r>
      <w:r>
        <w:rPr>
          <w:rFonts w:ascii="Cambria Math" w:hAnsi="Cambria Math" w:cs="Cambria Math"/>
        </w:rPr>
        <w:t>ﬀ</w:t>
      </w:r>
      <w:r>
        <w:t>ar,</w:t>
      </w:r>
    </w:p>
    <w:p w14:paraId="11AA674C" w14:textId="36E2C459" w:rsidR="00991CFE" w:rsidRPr="00991CFE" w:rsidRDefault="00991CFE" w:rsidP="00991CFE">
      <w:pPr>
        <w:rPr>
          <w:lang w:val="en-US"/>
        </w:rPr>
      </w:pPr>
      <w:r w:rsidRPr="00991CFE">
        <w:rPr>
          <w:lang w:val="en-US"/>
        </w:rPr>
        <w:t>M. Dörr, H. Völzke, C. Pink)</w:t>
      </w:r>
    </w:p>
    <w:p w14:paraId="2376E29F" w14:textId="77777777" w:rsidR="008B6081" w:rsidRPr="00991CFE" w:rsidRDefault="008B6081" w:rsidP="00965D55">
      <w:pPr>
        <w:rPr>
          <w:lang w:val="en-US"/>
        </w:rPr>
      </w:pPr>
    </w:p>
    <w:p w14:paraId="1E73F463" w14:textId="5C20FA47" w:rsidR="008B6081" w:rsidRDefault="008B6081" w:rsidP="00965D55">
      <w:pPr>
        <w:rPr>
          <w:b/>
        </w:rPr>
      </w:pPr>
      <w:r w:rsidRPr="00CE78A7">
        <w:rPr>
          <w:b/>
        </w:rPr>
        <w:t>2. Preis</w:t>
      </w:r>
    </w:p>
    <w:p w14:paraId="50C1611F" w14:textId="77777777" w:rsidR="00CE78A7" w:rsidRPr="00CE78A7" w:rsidRDefault="00CE78A7" w:rsidP="00965D55">
      <w:pPr>
        <w:rPr>
          <w:b/>
        </w:rPr>
      </w:pPr>
    </w:p>
    <w:p w14:paraId="2F5BF97F" w14:textId="798B99E2" w:rsidR="004131B7" w:rsidRPr="00CE78A7" w:rsidRDefault="004131B7" w:rsidP="004131B7">
      <w:r w:rsidRPr="00CE78A7">
        <w:t>Prof. Dr. Stefan Reichert:</w:t>
      </w:r>
    </w:p>
    <w:p w14:paraId="32AFC1DB" w14:textId="77777777" w:rsidR="007F6377" w:rsidRPr="00CE78A7" w:rsidRDefault="007F6377" w:rsidP="004131B7"/>
    <w:p w14:paraId="09789D33" w14:textId="2AA90E47" w:rsidR="004131B7" w:rsidRPr="007F6377" w:rsidRDefault="007F6377" w:rsidP="004131B7">
      <w:pPr>
        <w:rPr>
          <w:i/>
          <w:lang w:val="en-US"/>
        </w:rPr>
      </w:pPr>
      <w:r w:rsidRPr="007F6377">
        <w:rPr>
          <w:i/>
          <w:lang w:val="en-US"/>
        </w:rPr>
        <w:t>„</w:t>
      </w:r>
      <w:r w:rsidR="004131B7" w:rsidRPr="007F6377">
        <w:rPr>
          <w:i/>
          <w:lang w:val="en-US"/>
        </w:rPr>
        <w:t>Periodontal conditions and incidence of new cardiovascular events among   patients with coronary vascular disease.”</w:t>
      </w:r>
    </w:p>
    <w:p w14:paraId="1BACC0D5" w14:textId="77777777" w:rsidR="007F6377" w:rsidRPr="004131B7" w:rsidRDefault="007F6377" w:rsidP="004131B7">
      <w:pPr>
        <w:rPr>
          <w:lang w:val="en-US"/>
        </w:rPr>
      </w:pPr>
    </w:p>
    <w:p w14:paraId="1996D29A" w14:textId="200BB800" w:rsidR="00991CFE" w:rsidRPr="00991CFE" w:rsidRDefault="004131B7" w:rsidP="004131B7">
      <w:r w:rsidRPr="004131B7">
        <w:t xml:space="preserve">(S. </w:t>
      </w:r>
      <w:r>
        <w:t>Reichert, S. Schulz, A.-C. Benten, A. Lutze</w:t>
      </w:r>
      <w:r w:rsidRPr="004131B7">
        <w:t>,</w:t>
      </w:r>
      <w:r>
        <w:t xml:space="preserve"> T. Seifert, M. Schlitt</w:t>
      </w:r>
      <w:r w:rsidRPr="004131B7">
        <w:t xml:space="preserve">,   </w:t>
      </w:r>
      <w:r>
        <w:t>K. Werdan, B. Hofmann, A. Wienke, H.-G. Schaller   H.-G., A. Schlitt)</w:t>
      </w:r>
    </w:p>
    <w:p w14:paraId="782E510D" w14:textId="77777777" w:rsidR="008B6081" w:rsidRDefault="008B6081" w:rsidP="00965D55"/>
    <w:p w14:paraId="23E86911" w14:textId="26138912" w:rsidR="008B6081" w:rsidRDefault="008B6081" w:rsidP="00965D55">
      <w:pPr>
        <w:rPr>
          <w:b/>
        </w:rPr>
      </w:pPr>
      <w:r w:rsidRPr="00CE78A7">
        <w:rPr>
          <w:b/>
        </w:rPr>
        <w:t>2. Preis</w:t>
      </w:r>
    </w:p>
    <w:p w14:paraId="25B7D02F" w14:textId="77777777" w:rsidR="00CE78A7" w:rsidRPr="00CE78A7" w:rsidRDefault="00CE78A7" w:rsidP="00965D55">
      <w:pPr>
        <w:rPr>
          <w:b/>
        </w:rPr>
      </w:pPr>
    </w:p>
    <w:p w14:paraId="69C7FCA0" w14:textId="2B89F821" w:rsidR="00F66110" w:rsidRDefault="00F66110" w:rsidP="00965D55">
      <w:r>
        <w:t>Dr. Sabine Gröger:</w:t>
      </w:r>
    </w:p>
    <w:p w14:paraId="20C36C01" w14:textId="2A17BB88" w:rsidR="007F6377" w:rsidRPr="007F6377" w:rsidRDefault="007F6377" w:rsidP="00965D55">
      <w:pPr>
        <w:rPr>
          <w:i/>
          <w:lang w:val="en-US"/>
        </w:rPr>
      </w:pPr>
      <w:r w:rsidRPr="007F6377">
        <w:rPr>
          <w:lang w:val="en-US"/>
        </w:rPr>
        <w:br/>
      </w:r>
      <w:r w:rsidRPr="007F6377">
        <w:rPr>
          <w:i/>
          <w:lang w:val="en-US"/>
        </w:rPr>
        <w:t>„</w:t>
      </w:r>
      <w:r w:rsidR="00F66110" w:rsidRPr="007F6377">
        <w:rPr>
          <w:i/>
          <w:lang w:val="en-US"/>
        </w:rPr>
        <w:t>Porphyromonas gingivalis activates NFkB and MAPK pathways in human oral epithelial cells.“</w:t>
      </w:r>
      <w:r w:rsidRPr="007F6377">
        <w:rPr>
          <w:i/>
          <w:lang w:val="en-US"/>
        </w:rPr>
        <w:br/>
      </w:r>
    </w:p>
    <w:p w14:paraId="096C2423" w14:textId="55C3D08F" w:rsidR="00F66110" w:rsidRPr="00F66110" w:rsidRDefault="00F66110" w:rsidP="00965D55">
      <w:r>
        <w:t>(S. Gröger, F. Jarzina, E. Domann, J. Meyle)</w:t>
      </w:r>
    </w:p>
    <w:p w14:paraId="48A4CCD1" w14:textId="77777777" w:rsidR="00CE78A7" w:rsidRDefault="008B6081" w:rsidP="007F6377">
      <w:pPr>
        <w:spacing w:after="120"/>
        <w:rPr>
          <w:b/>
          <w:lang w:val="en-US"/>
        </w:rPr>
      </w:pPr>
      <w:bookmarkStart w:id="0" w:name="_gjdgxs" w:colFirst="0" w:colLast="0"/>
      <w:bookmarkEnd w:id="0"/>
      <w:r w:rsidRPr="00CE78A7">
        <w:rPr>
          <w:b/>
          <w:lang w:val="en-US"/>
        </w:rPr>
        <w:t>Kategorie „Klinische Studie“</w:t>
      </w:r>
      <w:r w:rsidRPr="00CE78A7">
        <w:rPr>
          <w:b/>
          <w:lang w:val="en-US"/>
        </w:rPr>
        <w:br/>
      </w:r>
      <w:r w:rsidRPr="00CE78A7">
        <w:rPr>
          <w:b/>
          <w:lang w:val="en-US"/>
        </w:rPr>
        <w:br/>
        <w:t>1. Preis</w:t>
      </w:r>
    </w:p>
    <w:p w14:paraId="6ED4B02D" w14:textId="77777777" w:rsidR="00CE78A7" w:rsidRDefault="007F6377" w:rsidP="007F6377">
      <w:pPr>
        <w:spacing w:after="120"/>
        <w:rPr>
          <w:b/>
          <w:lang w:val="en-US"/>
        </w:rPr>
      </w:pPr>
      <w:r w:rsidRPr="007F6377">
        <w:rPr>
          <w:u w:val="single"/>
          <w:lang w:val="en-US"/>
        </w:rPr>
        <w:br/>
      </w:r>
      <w:r w:rsidRPr="007F6377">
        <w:rPr>
          <w:lang w:val="en-US"/>
        </w:rPr>
        <w:t>Jan Schmickler</w:t>
      </w:r>
      <w:r w:rsidRPr="007F6377">
        <w:rPr>
          <w:lang w:val="en-US"/>
        </w:rPr>
        <w:br/>
      </w:r>
      <w:r w:rsidRPr="007F6377">
        <w:rPr>
          <w:lang w:val="en-US"/>
        </w:rPr>
        <w:br/>
      </w:r>
      <w:r w:rsidRPr="007F6377">
        <w:rPr>
          <w:i/>
          <w:lang w:val="en-US"/>
        </w:rPr>
        <w:t>„Cross-sectional evaluation of periodontal status and microbiologic and rheumatoid parameters in a large cohort of patients with rheumatoid arthritis.”</w:t>
      </w:r>
      <w:r w:rsidRPr="007F6377">
        <w:rPr>
          <w:lang w:val="en-US"/>
        </w:rPr>
        <w:br/>
      </w:r>
      <w:r w:rsidRPr="007F6377">
        <w:rPr>
          <w:lang w:val="en-US"/>
        </w:rPr>
        <w:br/>
      </w:r>
      <w:r w:rsidRPr="007F6377">
        <w:t xml:space="preserve">(J. Schmickler, A. Rupprecht, S. Patschan, D. Patschan, G.A. Müller, R. </w:t>
      </w:r>
      <w:r>
        <w:t>Haak, R.F. Mausberg, G. Schmalz, T. Kottmann, D. Ziebolz)</w:t>
      </w:r>
      <w:r w:rsidRPr="007F6377">
        <w:br/>
      </w:r>
      <w:r w:rsidRPr="007F6377">
        <w:br/>
      </w:r>
      <w:r w:rsidR="008B6081" w:rsidRPr="00CE78A7">
        <w:rPr>
          <w:b/>
        </w:rPr>
        <w:t xml:space="preserve">2. </w:t>
      </w:r>
      <w:r w:rsidR="008B6081" w:rsidRPr="00CE78A7">
        <w:rPr>
          <w:b/>
          <w:lang w:val="en-US"/>
        </w:rPr>
        <w:t>Preis</w:t>
      </w:r>
    </w:p>
    <w:p w14:paraId="0EB4C087" w14:textId="7077A901" w:rsidR="007F6377" w:rsidRPr="007F6377" w:rsidRDefault="007F6377" w:rsidP="007F6377">
      <w:pPr>
        <w:spacing w:after="120"/>
        <w:rPr>
          <w:u w:val="single"/>
          <w:lang w:val="en-US"/>
        </w:rPr>
      </w:pPr>
      <w:bookmarkStart w:id="1" w:name="_GoBack"/>
      <w:bookmarkEnd w:id="1"/>
      <w:r>
        <w:rPr>
          <w:u w:val="single"/>
          <w:lang w:val="en-US"/>
        </w:rPr>
        <w:br/>
      </w:r>
      <w:r w:rsidRPr="007F6377">
        <w:rPr>
          <w:lang w:val="en-US"/>
        </w:rPr>
        <w:t>Dr. Raluca Cosgarea</w:t>
      </w:r>
      <w:bookmarkStart w:id="2" w:name="1fob9te" w:colFirst="0" w:colLast="0"/>
      <w:bookmarkEnd w:id="2"/>
      <w:r w:rsidRPr="007F6377">
        <w:rPr>
          <w:lang w:val="en-US"/>
        </w:rPr>
        <w:br/>
      </w:r>
      <w:r>
        <w:rPr>
          <w:lang w:val="en-US"/>
        </w:rPr>
        <w:br/>
      </w:r>
      <w:r w:rsidRPr="007F6377">
        <w:rPr>
          <w:lang w:val="en-US"/>
        </w:rPr>
        <w:t xml:space="preserve">„Non-surgical periodontal treatment in conjunction with 3 or 7 days systemic administration of amoxicillin and metronidazole in severe chronic periodontitis patients. </w:t>
      </w:r>
      <w:r w:rsidRPr="00CE78A7">
        <w:rPr>
          <w:lang w:val="en-US"/>
        </w:rPr>
        <w:t>A placebo-controlled randomized clinical study.”</w:t>
      </w:r>
      <w:r w:rsidRPr="00CE78A7">
        <w:rPr>
          <w:lang w:val="en-US"/>
        </w:rPr>
        <w:br/>
      </w:r>
      <w:r w:rsidRPr="00CE78A7">
        <w:rPr>
          <w:lang w:val="en-US"/>
        </w:rPr>
        <w:br/>
        <w:t>(R. Cosgarea, R. Juncar, C. Heumann, R. Trisiu, L. Lascu, N. Arweiler, A. Stavropoulos, A. Sculean)</w:t>
      </w:r>
    </w:p>
    <w:p w14:paraId="6F1285DD" w14:textId="77777777" w:rsidR="004E5820" w:rsidRPr="00CE78A7" w:rsidRDefault="004E5820" w:rsidP="00965D55">
      <w:pPr>
        <w:rPr>
          <w:b/>
          <w:sz w:val="18"/>
          <w:szCs w:val="18"/>
          <w:lang w:val="en-US"/>
        </w:rPr>
      </w:pPr>
    </w:p>
    <w:p w14:paraId="2E7A6887" w14:textId="77777777" w:rsidR="004E5820" w:rsidRPr="00CE78A7" w:rsidRDefault="004E5820" w:rsidP="00965D55">
      <w:pPr>
        <w:rPr>
          <w:b/>
          <w:sz w:val="18"/>
          <w:szCs w:val="18"/>
          <w:lang w:val="en-US"/>
        </w:rPr>
      </w:pPr>
    </w:p>
    <w:p w14:paraId="2908C3A2" w14:textId="77777777" w:rsidR="004E5820" w:rsidRPr="00CE78A7" w:rsidRDefault="004E5820" w:rsidP="00965D55">
      <w:pPr>
        <w:rPr>
          <w:b/>
          <w:sz w:val="18"/>
          <w:szCs w:val="18"/>
          <w:lang w:val="en-US"/>
        </w:rPr>
      </w:pPr>
    </w:p>
    <w:p w14:paraId="2FBC92AE" w14:textId="77777777" w:rsidR="00965D55" w:rsidRPr="00CE78A7" w:rsidRDefault="00965D55" w:rsidP="004E5820">
      <w:pPr>
        <w:rPr>
          <w:b/>
          <w:sz w:val="18"/>
          <w:szCs w:val="18"/>
          <w:lang w:val="en-US"/>
        </w:rPr>
      </w:pPr>
    </w:p>
    <w:p w14:paraId="608819B5" w14:textId="77777777" w:rsidR="004A3FE1" w:rsidRPr="00CE78A7" w:rsidRDefault="004A3FE1" w:rsidP="004E5820">
      <w:pPr>
        <w:rPr>
          <w:b/>
          <w:sz w:val="18"/>
          <w:szCs w:val="18"/>
          <w:lang w:val="en-US"/>
        </w:rPr>
      </w:pPr>
    </w:p>
    <w:p w14:paraId="604F1808" w14:textId="77777777" w:rsidR="004A3FE1" w:rsidRPr="00CE78A7" w:rsidRDefault="004A3FE1" w:rsidP="004E5820">
      <w:pPr>
        <w:rPr>
          <w:b/>
          <w:sz w:val="18"/>
          <w:szCs w:val="18"/>
          <w:lang w:val="en-US"/>
        </w:rPr>
      </w:pPr>
    </w:p>
    <w:p w14:paraId="7053EA03" w14:textId="77777777" w:rsidR="00965D55" w:rsidRPr="00CE78A7" w:rsidRDefault="00965D55" w:rsidP="004E5820">
      <w:pPr>
        <w:rPr>
          <w:b/>
          <w:sz w:val="18"/>
          <w:szCs w:val="18"/>
          <w:lang w:val="en-US"/>
        </w:rPr>
      </w:pPr>
    </w:p>
    <w:p w14:paraId="5123CC44" w14:textId="77777777" w:rsidR="007F6377" w:rsidRPr="00CE78A7" w:rsidRDefault="007F6377" w:rsidP="004E5820">
      <w:pPr>
        <w:rPr>
          <w:b/>
          <w:sz w:val="18"/>
          <w:szCs w:val="18"/>
          <w:lang w:val="en-US"/>
        </w:rPr>
      </w:pPr>
    </w:p>
    <w:p w14:paraId="65602365" w14:textId="77777777" w:rsidR="007F6377" w:rsidRPr="00CE78A7" w:rsidRDefault="007F6377" w:rsidP="004E5820">
      <w:pPr>
        <w:rPr>
          <w:b/>
          <w:sz w:val="18"/>
          <w:szCs w:val="18"/>
          <w:lang w:val="en-US"/>
        </w:rPr>
      </w:pPr>
    </w:p>
    <w:p w14:paraId="343AB99A" w14:textId="77777777" w:rsidR="007F6377" w:rsidRPr="00CE78A7" w:rsidRDefault="007F6377" w:rsidP="004E5820">
      <w:pPr>
        <w:rPr>
          <w:b/>
          <w:sz w:val="18"/>
          <w:szCs w:val="18"/>
          <w:lang w:val="en-US"/>
        </w:rPr>
      </w:pPr>
    </w:p>
    <w:p w14:paraId="4BEF0F9A" w14:textId="77777777" w:rsidR="007F6377" w:rsidRPr="00CE78A7" w:rsidRDefault="007F6377" w:rsidP="004E5820">
      <w:pPr>
        <w:rPr>
          <w:b/>
          <w:sz w:val="18"/>
          <w:szCs w:val="18"/>
          <w:lang w:val="en-US"/>
        </w:rPr>
      </w:pPr>
    </w:p>
    <w:p w14:paraId="2D366BCD" w14:textId="77777777" w:rsidR="007F6377" w:rsidRPr="00CE78A7" w:rsidRDefault="007F6377" w:rsidP="004E5820">
      <w:pPr>
        <w:rPr>
          <w:b/>
          <w:sz w:val="18"/>
          <w:szCs w:val="18"/>
          <w:lang w:val="en-US"/>
        </w:rPr>
      </w:pPr>
    </w:p>
    <w:p w14:paraId="1BD25DAF" w14:textId="77777777" w:rsidR="007F6377" w:rsidRPr="00CE78A7" w:rsidRDefault="007F6377" w:rsidP="004E5820">
      <w:pPr>
        <w:rPr>
          <w:b/>
          <w:sz w:val="18"/>
          <w:szCs w:val="18"/>
          <w:lang w:val="en-US"/>
        </w:rPr>
      </w:pPr>
    </w:p>
    <w:p w14:paraId="7060BD9D" w14:textId="77777777" w:rsidR="007F6377" w:rsidRPr="00CE78A7" w:rsidRDefault="007F6377" w:rsidP="004E5820">
      <w:pPr>
        <w:rPr>
          <w:b/>
          <w:sz w:val="18"/>
          <w:szCs w:val="18"/>
          <w:lang w:val="en-US"/>
        </w:rPr>
      </w:pPr>
    </w:p>
    <w:p w14:paraId="4A573555" w14:textId="77777777" w:rsidR="007F6377" w:rsidRPr="00CE78A7" w:rsidRDefault="007F6377" w:rsidP="004E5820">
      <w:pPr>
        <w:rPr>
          <w:b/>
          <w:sz w:val="18"/>
          <w:szCs w:val="18"/>
          <w:lang w:val="en-US"/>
        </w:rPr>
      </w:pPr>
    </w:p>
    <w:p w14:paraId="0EA5DD1E" w14:textId="77777777" w:rsidR="007F6377" w:rsidRPr="00CE78A7" w:rsidRDefault="007F6377" w:rsidP="004E5820">
      <w:pPr>
        <w:rPr>
          <w:b/>
          <w:sz w:val="18"/>
          <w:szCs w:val="18"/>
          <w:lang w:val="en-US"/>
        </w:rPr>
      </w:pPr>
    </w:p>
    <w:p w14:paraId="0C207635" w14:textId="77777777" w:rsidR="007F6377" w:rsidRPr="00CE78A7" w:rsidRDefault="007F6377" w:rsidP="004E5820">
      <w:pPr>
        <w:rPr>
          <w:b/>
          <w:sz w:val="18"/>
          <w:szCs w:val="18"/>
          <w:lang w:val="en-US"/>
        </w:rPr>
      </w:pPr>
    </w:p>
    <w:p w14:paraId="54638C78" w14:textId="77777777" w:rsidR="007F6377" w:rsidRPr="00CE78A7" w:rsidRDefault="007F6377" w:rsidP="004E5820">
      <w:pPr>
        <w:rPr>
          <w:b/>
          <w:sz w:val="18"/>
          <w:szCs w:val="18"/>
          <w:lang w:val="en-US"/>
        </w:rPr>
      </w:pPr>
    </w:p>
    <w:p w14:paraId="0A10C0CC" w14:textId="77777777" w:rsidR="007F6377" w:rsidRPr="00CE78A7" w:rsidRDefault="007F6377" w:rsidP="004E5820">
      <w:pPr>
        <w:rPr>
          <w:b/>
          <w:sz w:val="18"/>
          <w:szCs w:val="18"/>
          <w:lang w:val="en-US"/>
        </w:rPr>
      </w:pPr>
    </w:p>
    <w:p w14:paraId="3FC1067C" w14:textId="77777777" w:rsidR="007F6377" w:rsidRPr="00CE78A7" w:rsidRDefault="007F6377" w:rsidP="004E5820">
      <w:pPr>
        <w:rPr>
          <w:b/>
          <w:sz w:val="18"/>
          <w:szCs w:val="18"/>
          <w:lang w:val="en-US"/>
        </w:rPr>
      </w:pPr>
    </w:p>
    <w:p w14:paraId="6B229B9C" w14:textId="77777777" w:rsidR="007F6377" w:rsidRPr="00CE78A7" w:rsidRDefault="007F6377" w:rsidP="004E5820">
      <w:pPr>
        <w:rPr>
          <w:b/>
          <w:sz w:val="18"/>
          <w:szCs w:val="18"/>
          <w:lang w:val="en-US"/>
        </w:rPr>
      </w:pPr>
    </w:p>
    <w:p w14:paraId="29B8A456" w14:textId="77777777" w:rsidR="007F6377" w:rsidRPr="00CE78A7" w:rsidRDefault="007F6377" w:rsidP="004E5820">
      <w:pPr>
        <w:rPr>
          <w:b/>
          <w:sz w:val="18"/>
          <w:szCs w:val="18"/>
          <w:lang w:val="en-US"/>
        </w:rPr>
      </w:pPr>
    </w:p>
    <w:p w14:paraId="2B854A0A" w14:textId="77777777" w:rsidR="007F6377" w:rsidRPr="00CE78A7" w:rsidRDefault="007F6377" w:rsidP="004E5820">
      <w:pPr>
        <w:rPr>
          <w:b/>
          <w:sz w:val="18"/>
          <w:szCs w:val="18"/>
          <w:lang w:val="en-US"/>
        </w:rPr>
      </w:pPr>
    </w:p>
    <w:p w14:paraId="33763075" w14:textId="77777777" w:rsidR="007F6377" w:rsidRPr="00CE78A7" w:rsidRDefault="007F6377" w:rsidP="004E5820">
      <w:pPr>
        <w:rPr>
          <w:b/>
          <w:sz w:val="18"/>
          <w:szCs w:val="18"/>
          <w:lang w:val="en-US"/>
        </w:rPr>
      </w:pPr>
    </w:p>
    <w:p w14:paraId="582DD5A3" w14:textId="77777777" w:rsidR="007F6377" w:rsidRPr="00CE78A7" w:rsidRDefault="007F6377" w:rsidP="004E5820">
      <w:pPr>
        <w:rPr>
          <w:b/>
          <w:sz w:val="18"/>
          <w:szCs w:val="18"/>
          <w:lang w:val="en-US"/>
        </w:rPr>
      </w:pPr>
    </w:p>
    <w:p w14:paraId="5E4555E5" w14:textId="77777777" w:rsidR="00965D55" w:rsidRDefault="00965D55" w:rsidP="004E5820">
      <w:pPr>
        <w:rPr>
          <w:b/>
          <w:sz w:val="18"/>
          <w:szCs w:val="18"/>
        </w:rPr>
      </w:pPr>
      <w:r>
        <w:rPr>
          <w:b/>
          <w:sz w:val="18"/>
          <w:szCs w:val="18"/>
        </w:rPr>
        <w:t>Über CP GABA GmbH</w:t>
      </w:r>
    </w:p>
    <w:p w14:paraId="10E8EBDB" w14:textId="7B99DE42" w:rsidR="00A32491" w:rsidRDefault="00965D55" w:rsidP="004E5820">
      <w:pPr>
        <w:rPr>
          <w:b/>
          <w:sz w:val="18"/>
          <w:szCs w:val="18"/>
        </w:rPr>
      </w:pPr>
      <w:r>
        <w:rPr>
          <w:sz w:val="18"/>
          <w:szCs w:val="18"/>
        </w:rPr>
        <w:t>CP GABA als Teil des Colgate-Palmolive Konzerns ist ein führendes Unternehmen in der Mund- und Zahnpflege mit dem Bestreben, die Mundgesundheit zu verbessern. Mit einem umfassenden Produktportfolio und Innovation sowie international angesehenen Marken wie elmex</w:t>
      </w:r>
      <w:r>
        <w:rPr>
          <w:sz w:val="18"/>
          <w:szCs w:val="18"/>
          <w:vertAlign w:val="superscript"/>
        </w:rPr>
        <w:t>®</w:t>
      </w:r>
      <w:r>
        <w:rPr>
          <w:sz w:val="18"/>
          <w:szCs w:val="18"/>
        </w:rPr>
        <w:t xml:space="preserve"> und meridol</w:t>
      </w:r>
      <w:r>
        <w:rPr>
          <w:sz w:val="18"/>
          <w:szCs w:val="18"/>
          <w:vertAlign w:val="superscript"/>
        </w:rPr>
        <w:t>®</w:t>
      </w:r>
      <w:r>
        <w:rPr>
          <w:sz w:val="18"/>
          <w:szCs w:val="18"/>
        </w:rPr>
        <w:t>, Colgate</w:t>
      </w:r>
      <w:r>
        <w:rPr>
          <w:sz w:val="18"/>
          <w:szCs w:val="18"/>
          <w:vertAlign w:val="superscript"/>
        </w:rPr>
        <w:t>®</w:t>
      </w:r>
      <w:r>
        <w:rPr>
          <w:sz w:val="18"/>
          <w:szCs w:val="18"/>
        </w:rPr>
        <w:t>, Colgate Total</w:t>
      </w:r>
      <w:r>
        <w:rPr>
          <w:sz w:val="18"/>
          <w:szCs w:val="18"/>
          <w:vertAlign w:val="superscript"/>
        </w:rPr>
        <w:t>®</w:t>
      </w:r>
      <w:r>
        <w:rPr>
          <w:sz w:val="18"/>
          <w:szCs w:val="18"/>
        </w:rPr>
        <w:t>, Duraphat</w:t>
      </w:r>
      <w:r>
        <w:rPr>
          <w:sz w:val="18"/>
          <w:szCs w:val="18"/>
          <w:vertAlign w:val="superscript"/>
        </w:rPr>
        <w:t>®</w:t>
      </w:r>
      <w:r>
        <w:rPr>
          <w:sz w:val="18"/>
          <w:szCs w:val="18"/>
        </w:rPr>
        <w:t xml:space="preserve"> und Colgate</w:t>
      </w:r>
      <w:r>
        <w:rPr>
          <w:sz w:val="18"/>
          <w:szCs w:val="18"/>
          <w:vertAlign w:val="superscript"/>
        </w:rPr>
        <w:t xml:space="preserve">® </w:t>
      </w:r>
      <w:r>
        <w:rPr>
          <w:sz w:val="18"/>
          <w:szCs w:val="18"/>
        </w:rPr>
        <w:t>MaxWhite Expert White, setzt CP GABA seinen erfolgreichen Kurs fort, der sich nicht zuletzt durch ein beachtliches Engagement gegenüber der dentalen Profession und den Apotheken, der Öffentlichkeit und den Verbrauchern auszeichnet.</w:t>
      </w:r>
      <w:bookmarkStart w:id="3" w:name="_3znysh7" w:colFirst="0" w:colLast="0"/>
      <w:bookmarkEnd w:id="3"/>
    </w:p>
    <w:sectPr w:rsidR="00A32491">
      <w:headerReference w:type="default" r:id="rId7"/>
      <w:footerReference w:type="default" r:id="rId8"/>
      <w:pgSz w:w="11906" w:h="16838"/>
      <w:pgMar w:top="1174" w:right="851" w:bottom="1702" w:left="368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FCF3" w14:textId="77777777" w:rsidR="0096645B" w:rsidRDefault="0096645B">
      <w:r>
        <w:separator/>
      </w:r>
    </w:p>
  </w:endnote>
  <w:endnote w:type="continuationSeparator" w:id="0">
    <w:p w14:paraId="48B69700" w14:textId="77777777" w:rsidR="0096645B" w:rsidRDefault="009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FFDA"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color w:val="auto"/>
        <w:lang w:eastAsia="en-US"/>
      </w:rPr>
    </w:pPr>
    <w:r>
      <w:rPr>
        <w:rFonts w:cs="Times New Roman"/>
        <w:noProof/>
        <w:color w:val="auto"/>
      </w:rPr>
      <mc:AlternateContent>
        <mc:Choice Requires="wps">
          <w:drawing>
            <wp:anchor distT="4294967295" distB="4294967295" distL="114300" distR="114300" simplePos="0" relativeHeight="251658752" behindDoc="0" locked="1" layoutInCell="1" allowOverlap="1" wp14:anchorId="2CE9C30D" wp14:editId="499B460E">
              <wp:simplePos x="0" y="0"/>
              <wp:positionH relativeFrom="page">
                <wp:posOffset>2340610</wp:posOffset>
              </wp:positionH>
              <wp:positionV relativeFrom="page">
                <wp:posOffset>9893935</wp:posOffset>
              </wp:positionV>
              <wp:extent cx="4679950" cy="0"/>
              <wp:effectExtent l="0" t="0" r="2540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rgbClr val="C3C3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9E7C46" id="Gerade Verbindung 1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84.3pt,779.05pt" to="552.8pt,7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" strokecolor="#c3c3c3" strokeweight="1pt">
              <v:stroke joinstyle="miter"/>
              <o:lock v:ext="edit" shapetype="f"/>
              <w10:wrap anchorx="page" anchory="page"/>
              <w10:anchorlock/>
            </v:line>
          </w:pict>
        </mc:Fallback>
      </mc:AlternateContent>
    </w:r>
  </w:p>
  <w:p w14:paraId="3E56469B"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16" w:lineRule="atLeast"/>
      <w:jc w:val="right"/>
      <w:rPr>
        <w:rFonts w:cs="Times New Roman"/>
        <w:color w:val="auto"/>
        <w:sz w:val="18"/>
        <w:lang w:eastAsia="en-US"/>
      </w:rPr>
    </w:pPr>
    <w:r>
      <w:rPr>
        <w:rFonts w:cs="Times New Roman"/>
        <w:noProof/>
        <w:color w:val="auto"/>
        <w:sz w:val="18"/>
      </w:rPr>
      <mc:AlternateContent>
        <mc:Choice Requires="wps">
          <w:drawing>
            <wp:anchor distT="0" distB="0" distL="114300" distR="114300" simplePos="0" relativeHeight="251661824" behindDoc="0" locked="0" layoutInCell="1" allowOverlap="1" wp14:anchorId="75407485" wp14:editId="64DB5AB4">
              <wp:simplePos x="0" y="0"/>
              <wp:positionH relativeFrom="page">
                <wp:posOffset>546100</wp:posOffset>
              </wp:positionH>
              <wp:positionV relativeFrom="page">
                <wp:posOffset>7131685</wp:posOffset>
              </wp:positionV>
              <wp:extent cx="1763395" cy="2300605"/>
              <wp:effectExtent l="0" t="0" r="8255" b="444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300605"/>
                      </a:xfrm>
                      <a:prstGeom prst="rect">
                        <a:avLst/>
                      </a:prstGeom>
                      <a:noFill/>
                      <a:ln w="6350">
                        <a:noFill/>
                      </a:ln>
                      <a:effectLst/>
                    </wps:spPr>
                    <wps:txbx>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77FFFA3C" w14:textId="77777777" w:rsidR="00B44C7F" w:rsidRPr="00B44C7F" w:rsidRDefault="00B44C7F" w:rsidP="00B44C7F">
                          <w:pPr>
                            <w:pStyle w:val="Fuzeile"/>
                            <w:rPr>
                              <w:sz w:val="18"/>
                              <w:szCs w:val="18"/>
                            </w:rPr>
                          </w:pPr>
                          <w:r w:rsidRPr="00B44C7F">
                            <w:rPr>
                              <w:sz w:val="18"/>
                              <w:szCs w:val="18"/>
                            </w:rPr>
                            <w:t>CP GABA GmbH</w:t>
                          </w:r>
                        </w:p>
                        <w:p w14:paraId="322FB567" w14:textId="77777777" w:rsidR="00B44C7F" w:rsidRPr="00B44C7F" w:rsidRDefault="00B44C7F" w:rsidP="00B44C7F">
                          <w:pPr>
                            <w:pStyle w:val="Fuzeile"/>
                            <w:rPr>
                              <w:b/>
                              <w:sz w:val="18"/>
                              <w:szCs w:val="18"/>
                            </w:rPr>
                          </w:pPr>
                          <w:r w:rsidRPr="00B44C7F">
                            <w:rPr>
                              <w:sz w:val="18"/>
                              <w:szCs w:val="18"/>
                            </w:rPr>
                            <w:t>www.cpgabaprofessional.de</w:t>
                          </w:r>
                          <w:r w:rsidRPr="00B44C7F">
                            <w:rPr>
                              <w:b/>
                              <w:sz w:val="18"/>
                              <w:szCs w:val="18"/>
                            </w:rPr>
                            <w:t xml:space="preserve"> </w:t>
                          </w:r>
                        </w:p>
                        <w:p w14:paraId="6B4EEF95" w14:textId="77777777" w:rsidR="00B44C7F" w:rsidRPr="00B44C7F" w:rsidRDefault="00B44C7F" w:rsidP="00B44C7F">
                          <w:pPr>
                            <w:pStyle w:val="Fuzeile"/>
                            <w:rPr>
                              <w:b/>
                              <w:sz w:val="18"/>
                              <w:szCs w:val="18"/>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Accente BizzComm GmbH</w:t>
                          </w:r>
                        </w:p>
                        <w:p w14:paraId="471D9100" w14:textId="77777777" w:rsidR="00B44C7F" w:rsidRPr="00B44C7F" w:rsidRDefault="00B44C7F" w:rsidP="00B44C7F">
                          <w:pPr>
                            <w:pStyle w:val="Fuzeile"/>
                            <w:rPr>
                              <w:sz w:val="18"/>
                              <w:szCs w:val="18"/>
                            </w:rPr>
                          </w:pPr>
                          <w:r w:rsidRPr="00D5668C">
                            <w:rPr>
                              <w:sz w:val="18"/>
                              <w:szCs w:val="18"/>
                            </w:rPr>
                            <w:t xml:space="preserve">Aarstr. </w:t>
                          </w:r>
                          <w:r w:rsidRPr="00B44C7F">
                            <w:rPr>
                              <w:sz w:val="18"/>
                              <w:szCs w:val="18"/>
                            </w:rPr>
                            <w:t>67</w:t>
                          </w:r>
                        </w:p>
                        <w:p w14:paraId="545081D1" w14:textId="77777777" w:rsidR="00B44C7F" w:rsidRPr="00B44C7F" w:rsidRDefault="00B44C7F" w:rsidP="00B44C7F">
                          <w:pPr>
                            <w:pStyle w:val="Fuzeile"/>
                            <w:rPr>
                              <w:sz w:val="18"/>
                              <w:szCs w:val="18"/>
                            </w:rPr>
                          </w:pPr>
                          <w:r w:rsidRPr="00B44C7F">
                            <w:rPr>
                              <w:sz w:val="18"/>
                              <w:szCs w:val="18"/>
                            </w:rPr>
                            <w:t>65195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2A51B5" w:rsidRDefault="00B44C7F" w:rsidP="00B44C7F">
                          <w:pPr>
                            <w:pStyle w:val="Fuzeile"/>
                            <w:rPr>
                              <w:sz w:val="18"/>
                              <w:szCs w:val="18"/>
                              <w:lang w:val="en-US"/>
                            </w:rPr>
                          </w:pPr>
                          <w:r w:rsidRPr="002A51B5">
                            <w:rPr>
                              <w:sz w:val="18"/>
                              <w:szCs w:val="18"/>
                              <w:lang w:val="en-US"/>
                            </w:rPr>
                            <w:t>Fax: 0611 / 40 80 6-99</w:t>
                          </w:r>
                        </w:p>
                        <w:p w14:paraId="3F53D837" w14:textId="77777777" w:rsidR="00B44C7F" w:rsidRPr="002A51B5" w:rsidRDefault="00B44C7F" w:rsidP="00B44C7F">
                          <w:pPr>
                            <w:pStyle w:val="Fuzeile"/>
                            <w:rPr>
                              <w:sz w:val="18"/>
                              <w:szCs w:val="18"/>
                              <w:lang w:val="en-US"/>
                            </w:rPr>
                          </w:pPr>
                          <w:r w:rsidRPr="002A51B5">
                            <w:rPr>
                              <w:sz w:val="18"/>
                              <w:szCs w:val="18"/>
                              <w:lang w:val="en-US"/>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07485" id="_x0000_t202" coordsize="21600,21600" o:spt="202" path="m,l,21600r21600,l21600,xe">
              <v:stroke joinstyle="miter"/>
              <v:path gradientshapeok="t" o:connecttype="rect"/>
            </v:shapetype>
            <v:shape id="Textfeld 10" o:spid="_x0000_s1026" type="#_x0000_t202" style="position:absolute;left:0;text-align:left;margin-left:43pt;margin-top:561.55pt;width:138.85pt;height:18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" filled="f" stroked="f" strokeweight=".5pt">
              <v:path arrowok="t"/>
              <v:textbox inset="0,0,0,0">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77FFFA3C" w14:textId="77777777" w:rsidR="00B44C7F" w:rsidRPr="00B44C7F" w:rsidRDefault="00B44C7F" w:rsidP="00B44C7F">
                    <w:pPr>
                      <w:pStyle w:val="Fuzeile"/>
                      <w:rPr>
                        <w:sz w:val="18"/>
                        <w:szCs w:val="18"/>
                      </w:rPr>
                    </w:pPr>
                    <w:r w:rsidRPr="00B44C7F">
                      <w:rPr>
                        <w:sz w:val="18"/>
                        <w:szCs w:val="18"/>
                      </w:rPr>
                      <w:t>CP GABA GmbH</w:t>
                    </w:r>
                  </w:p>
                  <w:p w14:paraId="322FB567" w14:textId="77777777" w:rsidR="00B44C7F" w:rsidRPr="00B44C7F" w:rsidRDefault="00B44C7F" w:rsidP="00B44C7F">
                    <w:pPr>
                      <w:pStyle w:val="Fuzeile"/>
                      <w:rPr>
                        <w:b/>
                        <w:sz w:val="18"/>
                        <w:szCs w:val="18"/>
                      </w:rPr>
                    </w:pPr>
                    <w:r w:rsidRPr="00B44C7F">
                      <w:rPr>
                        <w:sz w:val="18"/>
                        <w:szCs w:val="18"/>
                      </w:rPr>
                      <w:t>www.cpgabaprofessional.de</w:t>
                    </w:r>
                    <w:r w:rsidRPr="00B44C7F">
                      <w:rPr>
                        <w:b/>
                        <w:sz w:val="18"/>
                        <w:szCs w:val="18"/>
                      </w:rPr>
                      <w:t xml:space="preserve"> </w:t>
                    </w:r>
                  </w:p>
                  <w:p w14:paraId="6B4EEF95" w14:textId="77777777" w:rsidR="00B44C7F" w:rsidRPr="00B44C7F" w:rsidRDefault="00B44C7F" w:rsidP="00B44C7F">
                    <w:pPr>
                      <w:pStyle w:val="Fuzeile"/>
                      <w:rPr>
                        <w:b/>
                        <w:sz w:val="18"/>
                        <w:szCs w:val="18"/>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Accente BizzComm GmbH</w:t>
                    </w:r>
                  </w:p>
                  <w:p w14:paraId="471D9100" w14:textId="77777777" w:rsidR="00B44C7F" w:rsidRPr="00B44C7F" w:rsidRDefault="00B44C7F" w:rsidP="00B44C7F">
                    <w:pPr>
                      <w:pStyle w:val="Fuzeile"/>
                      <w:rPr>
                        <w:sz w:val="18"/>
                        <w:szCs w:val="18"/>
                      </w:rPr>
                    </w:pPr>
                    <w:r w:rsidRPr="00D5668C">
                      <w:rPr>
                        <w:sz w:val="18"/>
                        <w:szCs w:val="18"/>
                      </w:rPr>
                      <w:t xml:space="preserve">Aarstr. </w:t>
                    </w:r>
                    <w:r w:rsidRPr="00B44C7F">
                      <w:rPr>
                        <w:sz w:val="18"/>
                        <w:szCs w:val="18"/>
                      </w:rPr>
                      <w:t>67</w:t>
                    </w:r>
                  </w:p>
                  <w:p w14:paraId="545081D1" w14:textId="77777777" w:rsidR="00B44C7F" w:rsidRPr="00B44C7F" w:rsidRDefault="00B44C7F" w:rsidP="00B44C7F">
                    <w:pPr>
                      <w:pStyle w:val="Fuzeile"/>
                      <w:rPr>
                        <w:sz w:val="18"/>
                        <w:szCs w:val="18"/>
                      </w:rPr>
                    </w:pPr>
                    <w:r w:rsidRPr="00B44C7F">
                      <w:rPr>
                        <w:sz w:val="18"/>
                        <w:szCs w:val="18"/>
                      </w:rPr>
                      <w:t>65195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2A51B5" w:rsidRDefault="00B44C7F" w:rsidP="00B44C7F">
                    <w:pPr>
                      <w:pStyle w:val="Fuzeile"/>
                      <w:rPr>
                        <w:sz w:val="18"/>
                        <w:szCs w:val="18"/>
                        <w:lang w:val="en-US"/>
                      </w:rPr>
                    </w:pPr>
                    <w:r w:rsidRPr="002A51B5">
                      <w:rPr>
                        <w:sz w:val="18"/>
                        <w:szCs w:val="18"/>
                        <w:lang w:val="en-US"/>
                      </w:rPr>
                      <w:t>Fax: 0611 / 40 80 6-99</w:t>
                    </w:r>
                  </w:p>
                  <w:p w14:paraId="3F53D837" w14:textId="77777777" w:rsidR="00B44C7F" w:rsidRPr="002A51B5" w:rsidRDefault="00B44C7F" w:rsidP="00B44C7F">
                    <w:pPr>
                      <w:pStyle w:val="Fuzeile"/>
                      <w:rPr>
                        <w:sz w:val="18"/>
                        <w:szCs w:val="18"/>
                        <w:lang w:val="en-US"/>
                      </w:rPr>
                    </w:pPr>
                    <w:r w:rsidRPr="002A51B5">
                      <w:rPr>
                        <w:sz w:val="18"/>
                        <w:szCs w:val="18"/>
                        <w:lang w:val="en-US"/>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v:textbox>
              <w10:wrap anchorx="page" anchory="page"/>
            </v:shape>
          </w:pict>
        </mc:Fallback>
      </mc:AlternateContent>
    </w:r>
    <w:r w:rsidRPr="00B44C7F">
      <w:rPr>
        <w:rFonts w:cs="Times New Roman"/>
        <w:color w:val="auto"/>
        <w:sz w:val="18"/>
        <w:lang w:eastAsia="en-US"/>
      </w:rPr>
      <w:t xml:space="preserve">Seite </w:t>
    </w:r>
    <w:r w:rsidRPr="00B44C7F">
      <w:rPr>
        <w:rFonts w:cs="Times New Roman"/>
        <w:color w:val="auto"/>
        <w:sz w:val="18"/>
        <w:lang w:eastAsia="en-US"/>
      </w:rPr>
      <w:fldChar w:fldCharType="begin"/>
    </w:r>
    <w:r w:rsidRPr="00B44C7F">
      <w:rPr>
        <w:rFonts w:cs="Times New Roman"/>
        <w:color w:val="auto"/>
        <w:sz w:val="18"/>
        <w:lang w:eastAsia="en-US"/>
      </w:rPr>
      <w:instrText xml:space="preserve"> PAGE  \* Arabic  \* MERGEFORMAT </w:instrText>
    </w:r>
    <w:r w:rsidRPr="00B44C7F">
      <w:rPr>
        <w:rFonts w:cs="Times New Roman"/>
        <w:color w:val="auto"/>
        <w:sz w:val="18"/>
        <w:lang w:eastAsia="en-US"/>
      </w:rPr>
      <w:fldChar w:fldCharType="separate"/>
    </w:r>
    <w:r w:rsidR="00CE78A7">
      <w:rPr>
        <w:rFonts w:cs="Times New Roman"/>
        <w:noProof/>
        <w:color w:val="auto"/>
        <w:sz w:val="18"/>
        <w:lang w:eastAsia="en-US"/>
      </w:rPr>
      <w:t>1</w:t>
    </w:r>
    <w:r w:rsidRPr="00B44C7F">
      <w:rPr>
        <w:rFonts w:cs="Times New Roman"/>
        <w:color w:val="auto"/>
        <w:sz w:val="18"/>
        <w:lang w:eastAsia="en-US"/>
      </w:rPr>
      <w:fldChar w:fldCharType="end"/>
    </w:r>
    <w:r w:rsidRPr="00B44C7F">
      <w:rPr>
        <w:rFonts w:cs="Times New Roman"/>
        <w:color w:val="auto"/>
        <w:sz w:val="18"/>
        <w:lang w:eastAsia="en-US"/>
      </w:rPr>
      <w:t xml:space="preserve"> von </w:t>
    </w:r>
    <w:r w:rsidRPr="00B44C7F">
      <w:rPr>
        <w:rFonts w:cs="Times New Roman"/>
        <w:color w:val="auto"/>
        <w:sz w:val="18"/>
        <w:lang w:eastAsia="en-US"/>
      </w:rPr>
      <w:fldChar w:fldCharType="begin"/>
    </w:r>
    <w:r w:rsidRPr="00B44C7F">
      <w:rPr>
        <w:rFonts w:cs="Times New Roman"/>
        <w:color w:val="auto"/>
        <w:sz w:val="18"/>
        <w:lang w:eastAsia="en-US"/>
      </w:rPr>
      <w:instrText xml:space="preserve"> NUMPAGES  \* Arabic  \* MERGEFORMAT </w:instrText>
    </w:r>
    <w:r w:rsidRPr="00B44C7F">
      <w:rPr>
        <w:rFonts w:cs="Times New Roman"/>
        <w:color w:val="auto"/>
        <w:sz w:val="18"/>
        <w:lang w:eastAsia="en-US"/>
      </w:rPr>
      <w:fldChar w:fldCharType="separate"/>
    </w:r>
    <w:r w:rsidR="00CE78A7">
      <w:rPr>
        <w:rFonts w:cs="Times New Roman"/>
        <w:noProof/>
        <w:color w:val="auto"/>
        <w:sz w:val="18"/>
        <w:lang w:eastAsia="en-US"/>
      </w:rPr>
      <w:t>2</w:t>
    </w:r>
    <w:r w:rsidRPr="00B44C7F">
      <w:rPr>
        <w:rFonts w:cs="Times New Roman"/>
        <w:noProof/>
        <w:color w:val="auto"/>
        <w:sz w:val="18"/>
        <w:lang w:eastAsia="en-US"/>
      </w:rPr>
      <w:fldChar w:fldCharType="end"/>
    </w:r>
  </w:p>
  <w:p w14:paraId="0EDF7E41" w14:textId="77777777" w:rsidR="00A336A2" w:rsidRPr="00B44C7F" w:rsidRDefault="00A336A2" w:rsidP="00B44C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B4629" w14:textId="77777777" w:rsidR="0096645B" w:rsidRDefault="0096645B">
      <w:r>
        <w:separator/>
      </w:r>
    </w:p>
  </w:footnote>
  <w:footnote w:type="continuationSeparator" w:id="0">
    <w:p w14:paraId="441B7A49" w14:textId="77777777" w:rsidR="0096645B" w:rsidRDefault="0096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B30" w14:textId="77777777" w:rsidR="00A336A2" w:rsidRDefault="005F7FD7">
    <w:pPr>
      <w:tabs>
        <w:tab w:val="center" w:pos="4536"/>
        <w:tab w:val="right" w:pos="9072"/>
      </w:tabs>
      <w:spacing w:before="709"/>
    </w:pPr>
    <w:r>
      <w:rPr>
        <w:noProof/>
      </w:rPr>
      <w:drawing>
        <wp:anchor distT="0" distB="0" distL="0" distR="0" simplePos="0" relativeHeight="251656704" behindDoc="0" locked="0" layoutInCell="1" hidden="0" allowOverlap="1" wp14:anchorId="200A2BCD" wp14:editId="413F1A89">
          <wp:simplePos x="0" y="0"/>
          <wp:positionH relativeFrom="margin">
            <wp:posOffset>-2340609</wp:posOffset>
          </wp:positionH>
          <wp:positionV relativeFrom="paragraph">
            <wp:posOffset>0</wp:posOffset>
          </wp:positionV>
          <wp:extent cx="7560310" cy="1263650"/>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92483"/>
    <w:multiLevelType w:val="multilevel"/>
    <w:tmpl w:val="C1F0BB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A336A2"/>
    <w:rsid w:val="00004591"/>
    <w:rsid w:val="00030BE0"/>
    <w:rsid w:val="0003412B"/>
    <w:rsid w:val="000507E4"/>
    <w:rsid w:val="00066A00"/>
    <w:rsid w:val="000E28BB"/>
    <w:rsid w:val="000E4FCC"/>
    <w:rsid w:val="000E712A"/>
    <w:rsid w:val="0010701B"/>
    <w:rsid w:val="00147AFE"/>
    <w:rsid w:val="0016645E"/>
    <w:rsid w:val="00181086"/>
    <w:rsid w:val="001829F2"/>
    <w:rsid w:val="00192CCC"/>
    <w:rsid w:val="001A309F"/>
    <w:rsid w:val="001E0D80"/>
    <w:rsid w:val="001E3712"/>
    <w:rsid w:val="00213A53"/>
    <w:rsid w:val="00215586"/>
    <w:rsid w:val="002171DE"/>
    <w:rsid w:val="00225ED7"/>
    <w:rsid w:val="002350BE"/>
    <w:rsid w:val="00237AFB"/>
    <w:rsid w:val="0025754E"/>
    <w:rsid w:val="00264302"/>
    <w:rsid w:val="00267CEA"/>
    <w:rsid w:val="002704FE"/>
    <w:rsid w:val="002A3839"/>
    <w:rsid w:val="002A51B5"/>
    <w:rsid w:val="002B0954"/>
    <w:rsid w:val="00362FFF"/>
    <w:rsid w:val="00376E3B"/>
    <w:rsid w:val="00385E91"/>
    <w:rsid w:val="00392160"/>
    <w:rsid w:val="003A2D41"/>
    <w:rsid w:val="003B4284"/>
    <w:rsid w:val="003C11FB"/>
    <w:rsid w:val="003F7298"/>
    <w:rsid w:val="004131B7"/>
    <w:rsid w:val="0043087C"/>
    <w:rsid w:val="00447C05"/>
    <w:rsid w:val="004752FF"/>
    <w:rsid w:val="004A3FE1"/>
    <w:rsid w:val="004B1275"/>
    <w:rsid w:val="004C6C82"/>
    <w:rsid w:val="004E1EDD"/>
    <w:rsid w:val="004E5820"/>
    <w:rsid w:val="00503F36"/>
    <w:rsid w:val="00513F87"/>
    <w:rsid w:val="00544E6C"/>
    <w:rsid w:val="005474A7"/>
    <w:rsid w:val="00564753"/>
    <w:rsid w:val="00595702"/>
    <w:rsid w:val="005B469D"/>
    <w:rsid w:val="005C51B7"/>
    <w:rsid w:val="005D108D"/>
    <w:rsid w:val="005E2CDC"/>
    <w:rsid w:val="005E2FB4"/>
    <w:rsid w:val="005F1648"/>
    <w:rsid w:val="005F7FD7"/>
    <w:rsid w:val="006027F8"/>
    <w:rsid w:val="00623B4C"/>
    <w:rsid w:val="00654AB3"/>
    <w:rsid w:val="00691D87"/>
    <w:rsid w:val="006957DB"/>
    <w:rsid w:val="006A0038"/>
    <w:rsid w:val="007109AA"/>
    <w:rsid w:val="00712165"/>
    <w:rsid w:val="00734AE8"/>
    <w:rsid w:val="00756FD9"/>
    <w:rsid w:val="00777EFA"/>
    <w:rsid w:val="007C787F"/>
    <w:rsid w:val="007F6377"/>
    <w:rsid w:val="008007A6"/>
    <w:rsid w:val="00812390"/>
    <w:rsid w:val="0081689C"/>
    <w:rsid w:val="00842286"/>
    <w:rsid w:val="00851234"/>
    <w:rsid w:val="0087590D"/>
    <w:rsid w:val="008B3FF0"/>
    <w:rsid w:val="008B6081"/>
    <w:rsid w:val="008C4526"/>
    <w:rsid w:val="008D38D9"/>
    <w:rsid w:val="008D4792"/>
    <w:rsid w:val="008D7719"/>
    <w:rsid w:val="0091424C"/>
    <w:rsid w:val="00915F12"/>
    <w:rsid w:val="00940A2F"/>
    <w:rsid w:val="00965D55"/>
    <w:rsid w:val="0096645B"/>
    <w:rsid w:val="00981E4F"/>
    <w:rsid w:val="00985093"/>
    <w:rsid w:val="009857EC"/>
    <w:rsid w:val="00991CFE"/>
    <w:rsid w:val="00993842"/>
    <w:rsid w:val="00A26BEF"/>
    <w:rsid w:val="00A32491"/>
    <w:rsid w:val="00A336A2"/>
    <w:rsid w:val="00A46BDB"/>
    <w:rsid w:val="00A47FE6"/>
    <w:rsid w:val="00A65C2C"/>
    <w:rsid w:val="00A66A54"/>
    <w:rsid w:val="00A72495"/>
    <w:rsid w:val="00A76E32"/>
    <w:rsid w:val="00A866B8"/>
    <w:rsid w:val="00A94608"/>
    <w:rsid w:val="00A94A89"/>
    <w:rsid w:val="00AB1A91"/>
    <w:rsid w:val="00AB4312"/>
    <w:rsid w:val="00AD2E8C"/>
    <w:rsid w:val="00B03F17"/>
    <w:rsid w:val="00B40E64"/>
    <w:rsid w:val="00B44C7F"/>
    <w:rsid w:val="00B712DE"/>
    <w:rsid w:val="00B858D0"/>
    <w:rsid w:val="00B941F1"/>
    <w:rsid w:val="00BA7670"/>
    <w:rsid w:val="00BB53A0"/>
    <w:rsid w:val="00BB6861"/>
    <w:rsid w:val="00C13FA4"/>
    <w:rsid w:val="00C17758"/>
    <w:rsid w:val="00C227C9"/>
    <w:rsid w:val="00C25860"/>
    <w:rsid w:val="00C6369C"/>
    <w:rsid w:val="00C812D1"/>
    <w:rsid w:val="00CB191E"/>
    <w:rsid w:val="00CE01A3"/>
    <w:rsid w:val="00CE78A7"/>
    <w:rsid w:val="00CF4B58"/>
    <w:rsid w:val="00D075D5"/>
    <w:rsid w:val="00D1176B"/>
    <w:rsid w:val="00D442D1"/>
    <w:rsid w:val="00D5668C"/>
    <w:rsid w:val="00D84D13"/>
    <w:rsid w:val="00D952DF"/>
    <w:rsid w:val="00D964E2"/>
    <w:rsid w:val="00DA0669"/>
    <w:rsid w:val="00DB23B8"/>
    <w:rsid w:val="00DC1CE0"/>
    <w:rsid w:val="00E02EE9"/>
    <w:rsid w:val="00E2443E"/>
    <w:rsid w:val="00E3556F"/>
    <w:rsid w:val="00E40FC2"/>
    <w:rsid w:val="00E42C87"/>
    <w:rsid w:val="00E60CBF"/>
    <w:rsid w:val="00E62DC7"/>
    <w:rsid w:val="00EB3DD2"/>
    <w:rsid w:val="00EC0E56"/>
    <w:rsid w:val="00ED4DE5"/>
    <w:rsid w:val="00F60907"/>
    <w:rsid w:val="00F62177"/>
    <w:rsid w:val="00F66110"/>
    <w:rsid w:val="00F738E6"/>
    <w:rsid w:val="00F9742E"/>
    <w:rsid w:val="00FA4E98"/>
    <w:rsid w:val="00FB1C54"/>
    <w:rsid w:val="00FB564A"/>
    <w:rsid w:val="00FE2382"/>
    <w:rsid w:val="00FF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81F6B2"/>
  <w15:docId w15:val="{04EFDFF5-1A7F-4843-A548-D6929C6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81E4F"/>
  </w:style>
  <w:style w:type="paragraph" w:styleId="berschrift1">
    <w:name w:val="heading 1"/>
    <w:basedOn w:val="Standard"/>
    <w:next w:val="Standard"/>
    <w:pPr>
      <w:outlineLvl w:val="0"/>
    </w:pPr>
    <w:rPr>
      <w:b/>
      <w:sz w:val="36"/>
      <w:szCs w:val="36"/>
    </w:rPr>
  </w:style>
  <w:style w:type="paragraph" w:styleId="berschrift2">
    <w:name w:val="heading 2"/>
    <w:basedOn w:val="Standard"/>
    <w:next w:val="Standard"/>
    <w:pPr>
      <w:outlineLvl w:val="1"/>
    </w:pPr>
    <w:rPr>
      <w:b/>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200" w:line="204" w:lineRule="auto"/>
    </w:pPr>
    <w:rPr>
      <w:sz w:val="48"/>
      <w:szCs w:val="48"/>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CEA"/>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1689C"/>
    <w:rPr>
      <w:b/>
      <w:bCs/>
    </w:rPr>
  </w:style>
  <w:style w:type="character" w:customStyle="1" w:styleId="KommentarthemaZchn">
    <w:name w:val="Kommentarthema Zchn"/>
    <w:basedOn w:val="KommentartextZchn"/>
    <w:link w:val="Kommentarthema"/>
    <w:uiPriority w:val="99"/>
    <w:semiHidden/>
    <w:rsid w:val="0081689C"/>
    <w:rPr>
      <w:b/>
      <w:bCs/>
      <w:sz w:val="20"/>
      <w:szCs w:val="20"/>
    </w:rPr>
  </w:style>
  <w:style w:type="paragraph" w:customStyle="1" w:styleId="Tipp">
    <w:name w:val="Tipp"/>
    <w:basedOn w:val="Standard"/>
    <w:qFormat/>
    <w:rsid w:val="002B0954"/>
    <w:pPr>
      <w:pBdr>
        <w:top w:val="none" w:sz="0" w:space="0" w:color="auto"/>
        <w:left w:val="none" w:sz="0" w:space="0" w:color="auto"/>
        <w:bottom w:val="none" w:sz="0" w:space="0" w:color="auto"/>
        <w:right w:val="none" w:sz="0" w:space="0" w:color="auto"/>
        <w:between w:val="none" w:sz="0" w:space="0" w:color="auto"/>
      </w:pBdr>
      <w:spacing w:line="220" w:lineRule="atLeast"/>
    </w:pPr>
    <w:rPr>
      <w:rFonts w:cs="Times New Roman"/>
      <w:b/>
      <w:color w:val="auto"/>
      <w:sz w:val="18"/>
      <w:szCs w:val="18"/>
      <w:lang w:eastAsia="en-US"/>
    </w:rPr>
  </w:style>
  <w:style w:type="paragraph" w:customStyle="1" w:styleId="Teaser">
    <w:name w:val="Teaser"/>
    <w:basedOn w:val="Standard"/>
    <w:qFormat/>
    <w:rsid w:val="00F60907"/>
    <w:pPr>
      <w:pBdr>
        <w:top w:val="none" w:sz="0" w:space="0" w:color="auto"/>
        <w:left w:val="none" w:sz="0" w:space="0" w:color="auto"/>
        <w:bottom w:val="none" w:sz="0" w:space="0" w:color="auto"/>
        <w:right w:val="none" w:sz="0" w:space="0" w:color="auto"/>
        <w:between w:val="none" w:sz="0" w:space="0" w:color="auto"/>
      </w:pBdr>
      <w:spacing w:line="270" w:lineRule="atLeast"/>
    </w:pPr>
    <w:rPr>
      <w:rFonts w:cs="Times New Roman"/>
      <w:b/>
      <w:color w:val="auto"/>
      <w:lang w:eastAsia="en-US"/>
    </w:rPr>
  </w:style>
  <w:style w:type="paragraph" w:styleId="Kopfzeile">
    <w:name w:val="header"/>
    <w:basedOn w:val="Standard"/>
    <w:link w:val="KopfzeileZchn"/>
    <w:uiPriority w:val="99"/>
    <w:unhideWhenUsed/>
    <w:rsid w:val="00B44C7F"/>
    <w:pPr>
      <w:tabs>
        <w:tab w:val="center" w:pos="4536"/>
        <w:tab w:val="right" w:pos="9072"/>
      </w:tabs>
    </w:pPr>
  </w:style>
  <w:style w:type="character" w:customStyle="1" w:styleId="KopfzeileZchn">
    <w:name w:val="Kopfzeile Zchn"/>
    <w:basedOn w:val="Absatz-Standardschriftart"/>
    <w:link w:val="Kopfzeile"/>
    <w:uiPriority w:val="99"/>
    <w:rsid w:val="00B44C7F"/>
  </w:style>
  <w:style w:type="paragraph" w:styleId="Fuzeile">
    <w:name w:val="footer"/>
    <w:basedOn w:val="Standard"/>
    <w:link w:val="FuzeileZchn"/>
    <w:uiPriority w:val="99"/>
    <w:unhideWhenUsed/>
    <w:rsid w:val="00B44C7F"/>
    <w:pPr>
      <w:tabs>
        <w:tab w:val="center" w:pos="4536"/>
        <w:tab w:val="right" w:pos="9072"/>
      </w:tabs>
    </w:pPr>
  </w:style>
  <w:style w:type="character" w:customStyle="1" w:styleId="FuzeileZchn">
    <w:name w:val="Fußzeile Zchn"/>
    <w:basedOn w:val="Absatz-Standardschriftart"/>
    <w:link w:val="Fuzeile"/>
    <w:uiPriority w:val="99"/>
    <w:rsid w:val="00B44C7F"/>
  </w:style>
  <w:style w:type="character" w:styleId="Hyperlink">
    <w:name w:val="Hyperlink"/>
    <w:basedOn w:val="Absatz-Standardschriftart"/>
    <w:uiPriority w:val="99"/>
    <w:unhideWhenUsed/>
    <w:rsid w:val="00D5668C"/>
    <w:rPr>
      <w:color w:val="0000FF" w:themeColor="hyperlink"/>
      <w:u w:val="single"/>
    </w:rPr>
  </w:style>
  <w:style w:type="character" w:styleId="BesuchterHyperlink">
    <w:name w:val="FollowedHyperlink"/>
    <w:basedOn w:val="Absatz-Standardschriftart"/>
    <w:uiPriority w:val="99"/>
    <w:semiHidden/>
    <w:unhideWhenUsed/>
    <w:rsid w:val="008D4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8074">
      <w:bodyDiv w:val="1"/>
      <w:marLeft w:val="0"/>
      <w:marRight w:val="0"/>
      <w:marTop w:val="0"/>
      <w:marBottom w:val="0"/>
      <w:divBdr>
        <w:top w:val="none" w:sz="0" w:space="0" w:color="auto"/>
        <w:left w:val="none" w:sz="0" w:space="0" w:color="auto"/>
        <w:bottom w:val="none" w:sz="0" w:space="0" w:color="auto"/>
        <w:right w:val="none" w:sz="0" w:space="0" w:color="auto"/>
      </w:divBdr>
    </w:div>
    <w:div w:id="1527212034">
      <w:bodyDiv w:val="1"/>
      <w:marLeft w:val="0"/>
      <w:marRight w:val="0"/>
      <w:marTop w:val="0"/>
      <w:marBottom w:val="0"/>
      <w:divBdr>
        <w:top w:val="none" w:sz="0" w:space="0" w:color="auto"/>
        <w:left w:val="none" w:sz="0" w:space="0" w:color="auto"/>
        <w:bottom w:val="none" w:sz="0" w:space="0" w:color="auto"/>
        <w:right w:val="none" w:sz="0" w:space="0" w:color="auto"/>
      </w:divBdr>
    </w:div>
    <w:div w:id="210819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Colgate-Palmolive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Martina Neunecker</cp:lastModifiedBy>
  <cp:revision>8</cp:revision>
  <dcterms:created xsi:type="dcterms:W3CDTF">2017-09-21T15:10:00Z</dcterms:created>
  <dcterms:modified xsi:type="dcterms:W3CDTF">2017-09-22T07:56:00Z</dcterms:modified>
</cp:coreProperties>
</file>